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D85AB" w14:textId="62F8E532" w:rsidR="00563CCA" w:rsidRPr="00563CCA" w:rsidRDefault="00563CCA" w:rsidP="00563CCA">
      <w:r w:rsidRPr="00556891">
        <w:rPr>
          <w:b/>
        </w:rPr>
        <w:t>Title:</w:t>
      </w:r>
      <w:r w:rsidRPr="00563CCA">
        <w:t xml:space="preserve"> Data presented in the paper: “</w:t>
      </w:r>
      <w:r w:rsidR="006A2406" w:rsidRPr="006A2406">
        <w:t>Promoting self-facilitating feedback processes in coastal ecosystem engineers to increase restoration success: testing engineering measures</w:t>
      </w:r>
      <w:r w:rsidRPr="00563CCA">
        <w:t>”</w:t>
      </w:r>
      <w:r w:rsidR="00111496">
        <w:t>.</w:t>
      </w:r>
    </w:p>
    <w:p w14:paraId="214FE91B" w14:textId="320CB4F8" w:rsidR="006A2406" w:rsidRPr="006A2406" w:rsidRDefault="00563CCA" w:rsidP="006A2406">
      <w:pPr>
        <w:rPr>
          <w:vertAlign w:val="superscript"/>
          <w:lang w:val="nl-NL"/>
        </w:rPr>
      </w:pPr>
      <w:r w:rsidRPr="006A2406">
        <w:rPr>
          <w:b/>
          <w:lang w:val="nl-NL"/>
        </w:rPr>
        <w:t>Creator</w:t>
      </w:r>
      <w:r w:rsidR="009F332E" w:rsidRPr="006A2406">
        <w:rPr>
          <w:b/>
          <w:lang w:val="nl-NL"/>
        </w:rPr>
        <w:t>s</w:t>
      </w:r>
      <w:r w:rsidRPr="006A2406">
        <w:rPr>
          <w:b/>
          <w:lang w:val="nl-NL"/>
        </w:rPr>
        <w:t>:</w:t>
      </w:r>
      <w:r w:rsidRPr="006A2406">
        <w:rPr>
          <w:lang w:val="nl-NL"/>
        </w:rPr>
        <w:t xml:space="preserve"> </w:t>
      </w:r>
      <w:r w:rsidR="006A2406" w:rsidRPr="006A2406">
        <w:rPr>
          <w:lang w:val="nl-NL"/>
        </w:rPr>
        <w:t xml:space="preserve">Jildou Schotanus, Brenda Walles, Jacob J. Capelle, Jim van </w:t>
      </w:r>
      <w:proofErr w:type="spellStart"/>
      <w:r w:rsidR="006A2406" w:rsidRPr="006A2406">
        <w:rPr>
          <w:lang w:val="nl-NL"/>
        </w:rPr>
        <w:t>Belzen</w:t>
      </w:r>
      <w:proofErr w:type="spellEnd"/>
      <w:r w:rsidR="006A2406" w:rsidRPr="006A2406">
        <w:rPr>
          <w:lang w:val="nl-NL"/>
        </w:rPr>
        <w:t>, Johan van de Koppel, Tjeerd J. Bouma</w:t>
      </w:r>
    </w:p>
    <w:p w14:paraId="0B31454C" w14:textId="4084011C" w:rsidR="006A2406" w:rsidRPr="006A2406" w:rsidRDefault="00DB592D" w:rsidP="00563CCA">
      <w:pPr>
        <w:rPr>
          <w:bCs/>
        </w:rPr>
      </w:pPr>
      <w:r w:rsidRPr="00DB592D">
        <w:rPr>
          <w:b/>
        </w:rPr>
        <w:t xml:space="preserve">Figure </w:t>
      </w:r>
      <w:r w:rsidR="006A2406">
        <w:rPr>
          <w:b/>
        </w:rPr>
        <w:t>3A</w:t>
      </w:r>
      <w:r w:rsidRPr="00DB592D">
        <w:rPr>
          <w:b/>
        </w:rPr>
        <w:t xml:space="preserve">: </w:t>
      </w:r>
      <w:r w:rsidR="006A2406" w:rsidRPr="006A2406">
        <w:rPr>
          <w:bCs/>
          <w:iCs/>
        </w:rPr>
        <w:t>Average loss of mussels per week for each mussel treatment</w:t>
      </w:r>
      <w:r w:rsidR="009F332E" w:rsidRPr="00A10239">
        <w:rPr>
          <w:bCs/>
        </w:rPr>
        <w:t xml:space="preserve">. </w:t>
      </w:r>
    </w:p>
    <w:tbl>
      <w:tblPr>
        <w:tblStyle w:val="TableGridLight"/>
        <w:tblW w:w="9214" w:type="dxa"/>
        <w:tblLook w:val="04A0" w:firstRow="1" w:lastRow="0" w:firstColumn="1" w:lastColumn="0" w:noHBand="0" w:noVBand="1"/>
      </w:tblPr>
      <w:tblGrid>
        <w:gridCol w:w="1250"/>
        <w:gridCol w:w="7964"/>
      </w:tblGrid>
      <w:tr w:rsidR="006A2406" w:rsidRPr="00563CCA" w14:paraId="7C04207E" w14:textId="77777777" w:rsidTr="00DB592D">
        <w:trPr>
          <w:trHeight w:val="260"/>
        </w:trPr>
        <w:tc>
          <w:tcPr>
            <w:tcW w:w="1250" w:type="dxa"/>
            <w:noWrap/>
            <w:hideMark/>
          </w:tcPr>
          <w:p w14:paraId="7772072A" w14:textId="197DB56C" w:rsidR="006A2406" w:rsidRPr="00563CCA" w:rsidRDefault="006A2406" w:rsidP="006A2406">
            <w:pPr>
              <w:rPr>
                <w:rFonts w:ascii="Calibri" w:eastAsia="Times New Roman" w:hAnsi="Calibri" w:cs="Calibri"/>
                <w:color w:val="000000"/>
              </w:rPr>
            </w:pPr>
            <w:r w:rsidRPr="00AC5DC1">
              <w:t>Plot</w:t>
            </w:r>
          </w:p>
        </w:tc>
        <w:tc>
          <w:tcPr>
            <w:tcW w:w="7964" w:type="dxa"/>
          </w:tcPr>
          <w:p w14:paraId="6C89C2D4" w14:textId="1CE7DEE2" w:rsidR="006A2406" w:rsidRPr="00C80D6D" w:rsidRDefault="006A2406" w:rsidP="006A2406">
            <w:pPr>
              <w:rPr>
                <w:rFonts w:ascii="Calibri" w:eastAsia="Times New Roman" w:hAnsi="Calibri" w:cs="Calibri"/>
                <w:color w:val="000000"/>
              </w:rPr>
            </w:pPr>
            <w:r w:rsidRPr="00AC5DC1">
              <w:t>Plot id</w:t>
            </w:r>
          </w:p>
        </w:tc>
      </w:tr>
      <w:tr w:rsidR="00DB592D" w:rsidRPr="00563CCA" w14:paraId="74DF0E51" w14:textId="77777777" w:rsidTr="006A2406">
        <w:trPr>
          <w:trHeight w:val="260"/>
        </w:trPr>
        <w:tc>
          <w:tcPr>
            <w:tcW w:w="1250" w:type="dxa"/>
            <w:noWrap/>
          </w:tcPr>
          <w:p w14:paraId="455F8E1D" w14:textId="0C1FDC34" w:rsidR="00DB592D" w:rsidRPr="00563CCA" w:rsidRDefault="006A2406" w:rsidP="00DB592D">
            <w:pPr>
              <w:rPr>
                <w:rFonts w:ascii="Calibri" w:eastAsia="Times New Roman" w:hAnsi="Calibri" w:cs="Calibri"/>
                <w:color w:val="000000"/>
              </w:rPr>
            </w:pPr>
            <w:r>
              <w:rPr>
                <w:rFonts w:ascii="Calibri" w:eastAsia="Times New Roman" w:hAnsi="Calibri" w:cs="Calibri"/>
                <w:color w:val="000000"/>
              </w:rPr>
              <w:t>Treatment</w:t>
            </w:r>
          </w:p>
        </w:tc>
        <w:tc>
          <w:tcPr>
            <w:tcW w:w="7964" w:type="dxa"/>
          </w:tcPr>
          <w:p w14:paraId="7DDBD09D" w14:textId="456D7DB8" w:rsidR="00DB592D" w:rsidRPr="00C80D6D" w:rsidRDefault="006A2406" w:rsidP="00DB592D">
            <w:pPr>
              <w:rPr>
                <w:rFonts w:ascii="Calibri" w:eastAsia="Times New Roman" w:hAnsi="Calibri" w:cs="Calibri"/>
                <w:color w:val="000000"/>
              </w:rPr>
            </w:pPr>
            <w:r>
              <w:rPr>
                <w:rFonts w:ascii="Calibri" w:eastAsia="Times New Roman" w:hAnsi="Calibri" w:cs="Calibri"/>
                <w:color w:val="000000"/>
              </w:rPr>
              <w:t>One of the five configurations in which mussels were transplanted</w:t>
            </w:r>
          </w:p>
        </w:tc>
      </w:tr>
      <w:tr w:rsidR="00DB592D" w:rsidRPr="00563CCA" w14:paraId="6380EF88" w14:textId="77777777" w:rsidTr="00DB592D">
        <w:trPr>
          <w:trHeight w:val="260"/>
        </w:trPr>
        <w:tc>
          <w:tcPr>
            <w:tcW w:w="1250" w:type="dxa"/>
            <w:noWrap/>
            <w:hideMark/>
          </w:tcPr>
          <w:p w14:paraId="2C354039" w14:textId="65BF51BC" w:rsidR="00DB592D" w:rsidRPr="00563CCA" w:rsidRDefault="006A2406" w:rsidP="00DB592D">
            <w:pPr>
              <w:rPr>
                <w:rFonts w:ascii="Calibri" w:eastAsia="Times New Roman" w:hAnsi="Calibri" w:cs="Calibri"/>
                <w:color w:val="000000"/>
              </w:rPr>
            </w:pPr>
            <w:r>
              <w:t>Fence</w:t>
            </w:r>
          </w:p>
        </w:tc>
        <w:tc>
          <w:tcPr>
            <w:tcW w:w="7964" w:type="dxa"/>
          </w:tcPr>
          <w:p w14:paraId="11ED9BDC" w14:textId="7A563596" w:rsidR="00DB592D" w:rsidRPr="00563CCA" w:rsidRDefault="006A2406" w:rsidP="00DB592D">
            <w:pPr>
              <w:rPr>
                <w:rFonts w:ascii="Calibri" w:eastAsia="Times New Roman" w:hAnsi="Calibri" w:cs="Calibri"/>
                <w:color w:val="000000"/>
              </w:rPr>
            </w:pPr>
            <w:r>
              <w:rPr>
                <w:rFonts w:ascii="Calibri" w:eastAsia="Times New Roman" w:hAnsi="Calibri" w:cs="Calibri"/>
                <w:color w:val="000000"/>
              </w:rPr>
              <w:t>0= no fences, 1=fences</w:t>
            </w:r>
          </w:p>
        </w:tc>
      </w:tr>
      <w:tr w:rsidR="00DB592D" w:rsidRPr="00563CCA" w14:paraId="572A6231" w14:textId="77777777" w:rsidTr="00DB592D">
        <w:trPr>
          <w:trHeight w:val="260"/>
        </w:trPr>
        <w:tc>
          <w:tcPr>
            <w:tcW w:w="1250" w:type="dxa"/>
            <w:noWrap/>
            <w:hideMark/>
          </w:tcPr>
          <w:p w14:paraId="64721F7A" w14:textId="6EDDC12C" w:rsidR="00DB592D" w:rsidRPr="00563CCA" w:rsidRDefault="006A2406" w:rsidP="00DB592D">
            <w:pPr>
              <w:rPr>
                <w:rFonts w:ascii="Calibri" w:eastAsia="Times New Roman" w:hAnsi="Calibri" w:cs="Calibri"/>
                <w:color w:val="000000"/>
              </w:rPr>
            </w:pPr>
            <w:r>
              <w:t>Density</w:t>
            </w:r>
          </w:p>
        </w:tc>
        <w:tc>
          <w:tcPr>
            <w:tcW w:w="7964" w:type="dxa"/>
          </w:tcPr>
          <w:p w14:paraId="092E7AD1" w14:textId="41D841B5" w:rsidR="00DB592D" w:rsidRPr="006A2406" w:rsidRDefault="00DB592D" w:rsidP="00DB592D">
            <w:pPr>
              <w:rPr>
                <w:rFonts w:ascii="Calibri" w:eastAsia="Times New Roman" w:hAnsi="Calibri" w:cs="Calibri"/>
                <w:color w:val="000000"/>
              </w:rPr>
            </w:pPr>
            <w:r>
              <w:rPr>
                <w:rFonts w:ascii="Calibri" w:eastAsia="Times New Roman" w:hAnsi="Calibri" w:cs="Calibri"/>
                <w:color w:val="000000"/>
              </w:rPr>
              <w:t>1=</w:t>
            </w:r>
            <w:r w:rsidR="006A2406">
              <w:rPr>
                <w:rFonts w:ascii="Calibri" w:eastAsia="Times New Roman" w:hAnsi="Calibri" w:cs="Calibri"/>
                <w:color w:val="000000"/>
              </w:rPr>
              <w:t>2.1 kg/m</w:t>
            </w:r>
            <w:r w:rsidR="006A2406" w:rsidRPr="006A2406">
              <w:rPr>
                <w:rFonts w:ascii="Calibri" w:eastAsia="Times New Roman" w:hAnsi="Calibri" w:cs="Calibri"/>
                <w:color w:val="000000"/>
                <w:vertAlign w:val="superscript"/>
              </w:rPr>
              <w:t>2</w:t>
            </w:r>
            <w:r>
              <w:rPr>
                <w:rFonts w:ascii="Calibri" w:eastAsia="Times New Roman" w:hAnsi="Calibri" w:cs="Calibri"/>
                <w:color w:val="000000"/>
              </w:rPr>
              <w:t>, 2=</w:t>
            </w:r>
            <w:r w:rsidR="006A2406">
              <w:rPr>
                <w:rFonts w:ascii="Calibri" w:eastAsia="Times New Roman" w:hAnsi="Calibri" w:cs="Calibri"/>
                <w:color w:val="000000"/>
              </w:rPr>
              <w:t>4.2 kg/m</w:t>
            </w:r>
            <w:r w:rsidR="006A2406" w:rsidRPr="006A2406">
              <w:rPr>
                <w:rFonts w:ascii="Calibri" w:eastAsia="Times New Roman" w:hAnsi="Calibri" w:cs="Calibri"/>
                <w:color w:val="000000"/>
                <w:vertAlign w:val="superscript"/>
              </w:rPr>
              <w:t>2</w:t>
            </w:r>
            <w:r>
              <w:rPr>
                <w:rFonts w:ascii="Calibri" w:eastAsia="Times New Roman" w:hAnsi="Calibri" w:cs="Calibri"/>
                <w:color w:val="000000"/>
              </w:rPr>
              <w:t xml:space="preserve">, 3= </w:t>
            </w:r>
            <w:r w:rsidR="006A2406">
              <w:rPr>
                <w:rFonts w:ascii="Calibri" w:eastAsia="Times New Roman" w:hAnsi="Calibri" w:cs="Calibri"/>
                <w:color w:val="000000"/>
              </w:rPr>
              <w:t>4.2</w:t>
            </w:r>
            <w:r w:rsidR="006A2406" w:rsidRPr="006A2406">
              <w:rPr>
                <w:rFonts w:ascii="Calibri" w:eastAsia="Times New Roman" w:hAnsi="Calibri" w:cs="Calibri"/>
                <w:color w:val="000000"/>
              </w:rPr>
              <w:t xml:space="preserve"> kg/m</w:t>
            </w:r>
            <w:r w:rsidR="006A2406" w:rsidRPr="006A2406">
              <w:rPr>
                <w:rFonts w:ascii="Calibri" w:eastAsia="Times New Roman" w:hAnsi="Calibri" w:cs="Calibri"/>
                <w:color w:val="000000"/>
                <w:vertAlign w:val="superscript"/>
              </w:rPr>
              <w:t>2</w:t>
            </w:r>
            <w:r w:rsidR="006A2406">
              <w:rPr>
                <w:rFonts w:ascii="Calibri" w:eastAsia="Times New Roman" w:hAnsi="Calibri" w:cs="Calibri"/>
                <w:color w:val="000000"/>
                <w:vertAlign w:val="superscript"/>
              </w:rPr>
              <w:t xml:space="preserve"> </w:t>
            </w:r>
            <w:r w:rsidR="006A2406">
              <w:rPr>
                <w:rFonts w:ascii="Calibri" w:eastAsia="Times New Roman" w:hAnsi="Calibri" w:cs="Calibri"/>
                <w:color w:val="000000"/>
              </w:rPr>
              <w:t xml:space="preserve">on a smaller scale  </w:t>
            </w:r>
          </w:p>
        </w:tc>
      </w:tr>
      <w:tr w:rsidR="006A2406" w:rsidRPr="00563CCA" w14:paraId="571B85CF" w14:textId="77777777" w:rsidTr="00DB592D">
        <w:trPr>
          <w:trHeight w:val="260"/>
        </w:trPr>
        <w:tc>
          <w:tcPr>
            <w:tcW w:w="1250" w:type="dxa"/>
            <w:noWrap/>
            <w:hideMark/>
          </w:tcPr>
          <w:p w14:paraId="1005C978" w14:textId="5BAFAE96" w:rsidR="006A2406" w:rsidRPr="00563CCA" w:rsidRDefault="006A2406" w:rsidP="006A2406">
            <w:pPr>
              <w:rPr>
                <w:rFonts w:ascii="Calibri" w:eastAsia="Times New Roman" w:hAnsi="Calibri" w:cs="Calibri"/>
                <w:color w:val="000000"/>
              </w:rPr>
            </w:pPr>
            <w:r w:rsidRPr="00FA1C57">
              <w:t>Proportion</w:t>
            </w:r>
          </w:p>
        </w:tc>
        <w:tc>
          <w:tcPr>
            <w:tcW w:w="7964" w:type="dxa"/>
          </w:tcPr>
          <w:p w14:paraId="490EC800" w14:textId="7260D530" w:rsidR="006A2406" w:rsidRPr="00563CCA" w:rsidRDefault="006A2406" w:rsidP="006A2406">
            <w:pPr>
              <w:rPr>
                <w:rFonts w:ascii="Calibri" w:eastAsia="Times New Roman" w:hAnsi="Calibri" w:cs="Calibri"/>
                <w:color w:val="000000"/>
              </w:rPr>
            </w:pPr>
            <w:r w:rsidRPr="006A2406">
              <w:rPr>
                <w:rFonts w:ascii="Calibri" w:eastAsia="Times New Roman" w:hAnsi="Calibri" w:cs="Calibri"/>
                <w:bCs/>
                <w:iCs/>
                <w:color w:val="000000"/>
              </w:rPr>
              <w:t>Average loss of mussels per week</w:t>
            </w:r>
          </w:p>
        </w:tc>
      </w:tr>
    </w:tbl>
    <w:p w14:paraId="63A72E2E" w14:textId="717752F5" w:rsidR="00DB592D" w:rsidRDefault="00A10239" w:rsidP="00563CCA">
      <w:pPr>
        <w:rPr>
          <w:bCs/>
          <w:iCs/>
        </w:rPr>
      </w:pPr>
      <w:r w:rsidRPr="00A10239">
        <w:rPr>
          <w:b/>
          <w:iCs/>
        </w:rPr>
        <w:t xml:space="preserve">Figure </w:t>
      </w:r>
      <w:r w:rsidR="006A2406">
        <w:rPr>
          <w:b/>
          <w:iCs/>
        </w:rPr>
        <w:t>3B</w:t>
      </w:r>
      <w:r>
        <w:rPr>
          <w:b/>
          <w:iCs/>
        </w:rPr>
        <w:t>:</w:t>
      </w:r>
      <w:r w:rsidRPr="00A10239">
        <w:rPr>
          <w:b/>
          <w:iCs/>
        </w:rPr>
        <w:t xml:space="preserve"> </w:t>
      </w:r>
      <w:r w:rsidR="006A2406" w:rsidRPr="006A2406">
        <w:rPr>
          <w:bCs/>
          <w:iCs/>
        </w:rPr>
        <w:t>Mussel coverage over time</w:t>
      </w:r>
      <w:r w:rsidR="006A2406">
        <w:rPr>
          <w:bCs/>
          <w:iCs/>
        </w:rPr>
        <w:t>.</w:t>
      </w:r>
    </w:p>
    <w:tbl>
      <w:tblPr>
        <w:tblStyle w:val="TableGridLight"/>
        <w:tblW w:w="9209" w:type="dxa"/>
        <w:tblLook w:val="04A0" w:firstRow="1" w:lastRow="0" w:firstColumn="1" w:lastColumn="0" w:noHBand="0" w:noVBand="1"/>
      </w:tblPr>
      <w:tblGrid>
        <w:gridCol w:w="1734"/>
        <w:gridCol w:w="7475"/>
      </w:tblGrid>
      <w:tr w:rsidR="00A10239" w:rsidRPr="00556891" w14:paraId="1B6CDDFA" w14:textId="77777777" w:rsidTr="005940E2">
        <w:trPr>
          <w:trHeight w:val="260"/>
        </w:trPr>
        <w:tc>
          <w:tcPr>
            <w:tcW w:w="1734" w:type="dxa"/>
            <w:noWrap/>
            <w:hideMark/>
          </w:tcPr>
          <w:p w14:paraId="7792DA3A" w14:textId="77777777" w:rsidR="00A10239" w:rsidRPr="00556891" w:rsidRDefault="00A10239" w:rsidP="002335C8">
            <w:pPr>
              <w:rPr>
                <w:rFonts w:ascii="Calibri" w:eastAsia="Times New Roman" w:hAnsi="Calibri" w:cs="Calibri"/>
                <w:color w:val="000000"/>
              </w:rPr>
            </w:pPr>
            <w:r w:rsidRPr="003C69BB">
              <w:t>Date</w:t>
            </w:r>
          </w:p>
        </w:tc>
        <w:tc>
          <w:tcPr>
            <w:tcW w:w="7475" w:type="dxa"/>
          </w:tcPr>
          <w:p w14:paraId="57CAD57C" w14:textId="77777777" w:rsidR="00A10239" w:rsidRPr="00556891" w:rsidRDefault="00A10239" w:rsidP="002335C8">
            <w:pPr>
              <w:rPr>
                <w:rFonts w:ascii="Calibri" w:eastAsia="Times New Roman" w:hAnsi="Calibri" w:cs="Calibri"/>
                <w:color w:val="000000"/>
              </w:rPr>
            </w:pPr>
            <w:r w:rsidRPr="003C69BB">
              <w:t xml:space="preserve">Date at which picture was taken for analysis  </w:t>
            </w:r>
          </w:p>
        </w:tc>
      </w:tr>
      <w:tr w:rsidR="005940E2" w:rsidRPr="00556891" w14:paraId="0A87E274" w14:textId="77777777" w:rsidTr="005940E2">
        <w:trPr>
          <w:trHeight w:val="260"/>
        </w:trPr>
        <w:tc>
          <w:tcPr>
            <w:tcW w:w="1734" w:type="dxa"/>
            <w:noWrap/>
            <w:hideMark/>
          </w:tcPr>
          <w:p w14:paraId="5FCC8564" w14:textId="5C8F671E" w:rsidR="005940E2" w:rsidRPr="00556891" w:rsidRDefault="005940E2" w:rsidP="005940E2">
            <w:pPr>
              <w:rPr>
                <w:rFonts w:ascii="Calibri" w:eastAsia="Times New Roman" w:hAnsi="Calibri" w:cs="Calibri"/>
                <w:color w:val="000000"/>
              </w:rPr>
            </w:pPr>
            <w:r w:rsidRPr="00751E78">
              <w:t>Plot</w:t>
            </w:r>
          </w:p>
        </w:tc>
        <w:tc>
          <w:tcPr>
            <w:tcW w:w="7475" w:type="dxa"/>
          </w:tcPr>
          <w:p w14:paraId="44264091" w14:textId="6868387C" w:rsidR="005940E2" w:rsidRPr="00556891" w:rsidRDefault="005940E2" w:rsidP="005940E2">
            <w:pPr>
              <w:rPr>
                <w:rFonts w:ascii="Calibri" w:eastAsia="Times New Roman" w:hAnsi="Calibri" w:cs="Calibri"/>
                <w:color w:val="000000"/>
              </w:rPr>
            </w:pPr>
            <w:r w:rsidRPr="00751E78">
              <w:t>Plot id</w:t>
            </w:r>
          </w:p>
        </w:tc>
      </w:tr>
      <w:tr w:rsidR="005940E2" w:rsidRPr="00556891" w14:paraId="6719C7E4" w14:textId="77777777" w:rsidTr="005940E2">
        <w:trPr>
          <w:trHeight w:val="260"/>
        </w:trPr>
        <w:tc>
          <w:tcPr>
            <w:tcW w:w="1734" w:type="dxa"/>
            <w:noWrap/>
            <w:hideMark/>
          </w:tcPr>
          <w:p w14:paraId="1A074593" w14:textId="56B19AC0" w:rsidR="005940E2" w:rsidRPr="00556891" w:rsidRDefault="005940E2" w:rsidP="005940E2">
            <w:pPr>
              <w:rPr>
                <w:rFonts w:ascii="Calibri" w:eastAsia="Times New Roman" w:hAnsi="Calibri" w:cs="Calibri"/>
                <w:color w:val="000000"/>
              </w:rPr>
            </w:pPr>
            <w:r w:rsidRPr="00751E78">
              <w:t>Treatment</w:t>
            </w:r>
          </w:p>
        </w:tc>
        <w:tc>
          <w:tcPr>
            <w:tcW w:w="7475" w:type="dxa"/>
          </w:tcPr>
          <w:p w14:paraId="2404CC2E" w14:textId="4086C262" w:rsidR="005940E2" w:rsidRPr="00556891" w:rsidRDefault="005940E2" w:rsidP="005940E2">
            <w:pPr>
              <w:rPr>
                <w:rFonts w:ascii="Calibri" w:eastAsia="Times New Roman" w:hAnsi="Calibri" w:cs="Calibri"/>
                <w:color w:val="000000"/>
              </w:rPr>
            </w:pPr>
            <w:r w:rsidRPr="00751E78">
              <w:t>One of the five configurations in which mussels were transplanted</w:t>
            </w:r>
          </w:p>
        </w:tc>
      </w:tr>
      <w:tr w:rsidR="005940E2" w:rsidRPr="00556891" w14:paraId="1569A5DE" w14:textId="77777777" w:rsidTr="005940E2">
        <w:trPr>
          <w:trHeight w:val="260"/>
        </w:trPr>
        <w:tc>
          <w:tcPr>
            <w:tcW w:w="1734" w:type="dxa"/>
            <w:noWrap/>
            <w:hideMark/>
          </w:tcPr>
          <w:p w14:paraId="63166518" w14:textId="6FC7945C" w:rsidR="005940E2" w:rsidRPr="00556891" w:rsidRDefault="005940E2" w:rsidP="005940E2">
            <w:pPr>
              <w:rPr>
                <w:rFonts w:ascii="Calibri" w:eastAsia="Times New Roman" w:hAnsi="Calibri" w:cs="Calibri"/>
                <w:color w:val="000000"/>
              </w:rPr>
            </w:pPr>
            <w:r w:rsidRPr="00751E78">
              <w:t>Fence</w:t>
            </w:r>
          </w:p>
        </w:tc>
        <w:tc>
          <w:tcPr>
            <w:tcW w:w="7475" w:type="dxa"/>
          </w:tcPr>
          <w:p w14:paraId="6D313FCE" w14:textId="710CBA27" w:rsidR="005940E2" w:rsidRPr="00556891" w:rsidRDefault="005940E2" w:rsidP="005940E2">
            <w:pPr>
              <w:rPr>
                <w:rFonts w:ascii="Calibri" w:eastAsia="Times New Roman" w:hAnsi="Calibri" w:cs="Calibri"/>
                <w:color w:val="000000"/>
              </w:rPr>
            </w:pPr>
            <w:r w:rsidRPr="00751E78">
              <w:t>0= no fences, 1=fences</w:t>
            </w:r>
          </w:p>
        </w:tc>
      </w:tr>
      <w:tr w:rsidR="005940E2" w:rsidRPr="00556891" w14:paraId="5D447372" w14:textId="77777777" w:rsidTr="005940E2">
        <w:trPr>
          <w:trHeight w:val="260"/>
        </w:trPr>
        <w:tc>
          <w:tcPr>
            <w:tcW w:w="1734" w:type="dxa"/>
            <w:noWrap/>
            <w:hideMark/>
          </w:tcPr>
          <w:p w14:paraId="110CFC02" w14:textId="10B2B901" w:rsidR="005940E2" w:rsidRPr="00556891" w:rsidRDefault="005940E2" w:rsidP="005940E2">
            <w:pPr>
              <w:rPr>
                <w:rFonts w:ascii="Calibri" w:eastAsia="Times New Roman" w:hAnsi="Calibri" w:cs="Calibri"/>
                <w:color w:val="000000"/>
              </w:rPr>
            </w:pPr>
            <w:r w:rsidRPr="00EC2518">
              <w:t>Density</w:t>
            </w:r>
          </w:p>
        </w:tc>
        <w:tc>
          <w:tcPr>
            <w:tcW w:w="7475" w:type="dxa"/>
          </w:tcPr>
          <w:p w14:paraId="3A2CA1B5" w14:textId="6B1BD51D" w:rsidR="005940E2" w:rsidRPr="00556891" w:rsidRDefault="005940E2" w:rsidP="005940E2">
            <w:pPr>
              <w:rPr>
                <w:rFonts w:ascii="Calibri" w:eastAsia="Times New Roman" w:hAnsi="Calibri" w:cs="Calibri"/>
                <w:color w:val="000000"/>
              </w:rPr>
            </w:pPr>
            <w:r w:rsidRPr="00EC2518">
              <w:t xml:space="preserve">1=2.1 kg/m2, 2=4.2 kg/m2, 3= 4.2 kg/m2 on a smaller scale  </w:t>
            </w:r>
          </w:p>
        </w:tc>
      </w:tr>
      <w:tr w:rsidR="005940E2" w:rsidRPr="00556891" w14:paraId="732651C1" w14:textId="77777777" w:rsidTr="005940E2">
        <w:trPr>
          <w:trHeight w:val="260"/>
        </w:trPr>
        <w:tc>
          <w:tcPr>
            <w:tcW w:w="1734" w:type="dxa"/>
            <w:noWrap/>
          </w:tcPr>
          <w:p w14:paraId="5D7E1D57" w14:textId="59B1C51F" w:rsidR="005940E2" w:rsidRPr="00EC2518" w:rsidRDefault="005940E2" w:rsidP="005940E2">
            <w:r>
              <w:t>C</w:t>
            </w:r>
            <w:r w:rsidRPr="005940E2">
              <w:t>overagem2</w:t>
            </w:r>
          </w:p>
        </w:tc>
        <w:tc>
          <w:tcPr>
            <w:tcW w:w="7475" w:type="dxa"/>
          </w:tcPr>
          <w:p w14:paraId="4A38767C" w14:textId="11352EC6" w:rsidR="005940E2" w:rsidRPr="00EC2518" w:rsidRDefault="005940E2" w:rsidP="005940E2">
            <w:r w:rsidRPr="005940E2">
              <w:rPr>
                <w:bCs/>
                <w:iCs/>
              </w:rPr>
              <w:t>Mussel coverage</w:t>
            </w:r>
            <w:r>
              <w:rPr>
                <w:bCs/>
                <w:iCs/>
              </w:rPr>
              <w:t xml:space="preserve"> (m</w:t>
            </w:r>
            <w:r w:rsidRPr="005940E2">
              <w:rPr>
                <w:bCs/>
                <w:iCs/>
                <w:vertAlign w:val="superscript"/>
              </w:rPr>
              <w:t>2</w:t>
            </w:r>
            <w:r>
              <w:rPr>
                <w:bCs/>
                <w:iCs/>
              </w:rPr>
              <w:t>)</w:t>
            </w:r>
          </w:p>
        </w:tc>
      </w:tr>
      <w:tr w:rsidR="005940E2" w:rsidRPr="00556891" w14:paraId="45FF0F45" w14:textId="77777777" w:rsidTr="005940E2">
        <w:trPr>
          <w:trHeight w:val="260"/>
        </w:trPr>
        <w:tc>
          <w:tcPr>
            <w:tcW w:w="1734" w:type="dxa"/>
            <w:noWrap/>
          </w:tcPr>
          <w:p w14:paraId="21F1A6F7" w14:textId="2E3D59C7" w:rsidR="005940E2" w:rsidRDefault="005940E2" w:rsidP="005940E2">
            <w:proofErr w:type="spellStart"/>
            <w:r>
              <w:t>Areaperc</w:t>
            </w:r>
            <w:proofErr w:type="spellEnd"/>
          </w:p>
        </w:tc>
        <w:tc>
          <w:tcPr>
            <w:tcW w:w="7475" w:type="dxa"/>
          </w:tcPr>
          <w:p w14:paraId="4E9F07E7" w14:textId="1A50DE81" w:rsidR="005940E2" w:rsidRPr="005940E2" w:rsidRDefault="005940E2" w:rsidP="005940E2">
            <w:pPr>
              <w:rPr>
                <w:bCs/>
                <w:iCs/>
              </w:rPr>
            </w:pPr>
            <w:r w:rsidRPr="005940E2">
              <w:rPr>
                <w:bCs/>
                <w:iCs/>
              </w:rPr>
              <w:t>Mussel coverage</w:t>
            </w:r>
            <w:r>
              <w:rPr>
                <w:bCs/>
                <w:iCs/>
              </w:rPr>
              <w:t xml:space="preserve"> (%) compared to start of the experiment</w:t>
            </w:r>
          </w:p>
        </w:tc>
      </w:tr>
    </w:tbl>
    <w:p w14:paraId="23F4A214" w14:textId="4940546C" w:rsidR="00A10239" w:rsidRPr="00A10239" w:rsidRDefault="00A10239" w:rsidP="00563CCA">
      <w:pPr>
        <w:rPr>
          <w:bCs/>
        </w:rPr>
      </w:pPr>
      <w:r w:rsidRPr="00A10239">
        <w:rPr>
          <w:b/>
        </w:rPr>
        <w:t xml:space="preserve">Figure </w:t>
      </w:r>
      <w:r w:rsidR="006A2406">
        <w:rPr>
          <w:b/>
        </w:rPr>
        <w:t>4B</w:t>
      </w:r>
      <w:r w:rsidRPr="00A10239">
        <w:rPr>
          <w:b/>
        </w:rPr>
        <w:t>:</w:t>
      </w:r>
      <w:r w:rsidRPr="00A10239">
        <w:rPr>
          <w:bCs/>
        </w:rPr>
        <w:t xml:space="preserve"> </w:t>
      </w:r>
      <w:r w:rsidR="006A2406" w:rsidRPr="006A2406">
        <w:rPr>
          <w:bCs/>
        </w:rPr>
        <w:t>The slope (b), which is the decline in mussel coverage (log(y)) from compartment 1 to compartment 4 (x) for every plot (log(y)= a + bx).</w:t>
      </w:r>
    </w:p>
    <w:tbl>
      <w:tblPr>
        <w:tblStyle w:val="TableGridLight"/>
        <w:tblW w:w="9209" w:type="dxa"/>
        <w:tblLook w:val="04A0" w:firstRow="1" w:lastRow="0" w:firstColumn="1" w:lastColumn="0" w:noHBand="0" w:noVBand="1"/>
      </w:tblPr>
      <w:tblGrid>
        <w:gridCol w:w="1471"/>
        <w:gridCol w:w="7738"/>
      </w:tblGrid>
      <w:tr w:rsidR="005940E2" w:rsidRPr="00556891" w14:paraId="02AEE6FC" w14:textId="77777777" w:rsidTr="006827D5">
        <w:trPr>
          <w:trHeight w:val="260"/>
        </w:trPr>
        <w:tc>
          <w:tcPr>
            <w:tcW w:w="1471" w:type="dxa"/>
            <w:noWrap/>
            <w:hideMark/>
          </w:tcPr>
          <w:p w14:paraId="5F66DF29" w14:textId="50DD0AFE" w:rsidR="005940E2" w:rsidRPr="00556891" w:rsidRDefault="005940E2" w:rsidP="005940E2">
            <w:pPr>
              <w:rPr>
                <w:rFonts w:ascii="Calibri" w:eastAsia="Times New Roman" w:hAnsi="Calibri" w:cs="Calibri"/>
                <w:color w:val="000000"/>
              </w:rPr>
            </w:pPr>
            <w:bookmarkStart w:id="0" w:name="_Hlk37246666"/>
            <w:r w:rsidRPr="00F049B6">
              <w:t>Date</w:t>
            </w:r>
          </w:p>
        </w:tc>
        <w:tc>
          <w:tcPr>
            <w:tcW w:w="7738" w:type="dxa"/>
          </w:tcPr>
          <w:p w14:paraId="088C1FDC" w14:textId="2D9FF8B4" w:rsidR="005940E2" w:rsidRPr="00556891" w:rsidRDefault="005940E2" w:rsidP="005940E2">
            <w:pPr>
              <w:rPr>
                <w:rFonts w:ascii="Calibri" w:eastAsia="Times New Roman" w:hAnsi="Calibri" w:cs="Calibri"/>
                <w:color w:val="000000"/>
              </w:rPr>
            </w:pPr>
            <w:r w:rsidRPr="00F049B6">
              <w:t xml:space="preserve">Date at which picture was taken for analysis  </w:t>
            </w:r>
          </w:p>
        </w:tc>
      </w:tr>
      <w:tr w:rsidR="005940E2" w:rsidRPr="00556891" w14:paraId="0D66A684" w14:textId="77777777" w:rsidTr="006827D5">
        <w:trPr>
          <w:trHeight w:val="260"/>
        </w:trPr>
        <w:tc>
          <w:tcPr>
            <w:tcW w:w="1471" w:type="dxa"/>
            <w:noWrap/>
            <w:hideMark/>
          </w:tcPr>
          <w:p w14:paraId="0ADFFD89" w14:textId="52D3D32C" w:rsidR="005940E2" w:rsidRPr="00556891" w:rsidRDefault="005940E2" w:rsidP="005940E2">
            <w:pPr>
              <w:rPr>
                <w:rFonts w:ascii="Calibri" w:eastAsia="Times New Roman" w:hAnsi="Calibri" w:cs="Calibri"/>
                <w:color w:val="000000"/>
              </w:rPr>
            </w:pPr>
            <w:r w:rsidRPr="00F049B6">
              <w:t>Plot</w:t>
            </w:r>
          </w:p>
        </w:tc>
        <w:tc>
          <w:tcPr>
            <w:tcW w:w="7738" w:type="dxa"/>
          </w:tcPr>
          <w:p w14:paraId="4E0E15C9" w14:textId="2ABB781B" w:rsidR="005940E2" w:rsidRPr="00556891" w:rsidRDefault="005940E2" w:rsidP="005940E2">
            <w:pPr>
              <w:rPr>
                <w:rFonts w:ascii="Calibri" w:eastAsia="Times New Roman" w:hAnsi="Calibri" w:cs="Calibri"/>
                <w:color w:val="000000"/>
              </w:rPr>
            </w:pPr>
            <w:r w:rsidRPr="00F049B6">
              <w:t>Plot id</w:t>
            </w:r>
          </w:p>
        </w:tc>
      </w:tr>
      <w:tr w:rsidR="005940E2" w:rsidRPr="00556891" w14:paraId="15531D6F" w14:textId="77777777" w:rsidTr="006827D5">
        <w:trPr>
          <w:trHeight w:val="260"/>
        </w:trPr>
        <w:tc>
          <w:tcPr>
            <w:tcW w:w="1471" w:type="dxa"/>
            <w:noWrap/>
            <w:hideMark/>
          </w:tcPr>
          <w:p w14:paraId="360ECCBA" w14:textId="69DA56FB" w:rsidR="005940E2" w:rsidRPr="00556891" w:rsidRDefault="005940E2" w:rsidP="005940E2">
            <w:pPr>
              <w:rPr>
                <w:rFonts w:ascii="Calibri" w:eastAsia="Times New Roman" w:hAnsi="Calibri" w:cs="Calibri"/>
                <w:color w:val="000000"/>
              </w:rPr>
            </w:pPr>
            <w:r w:rsidRPr="00F049B6">
              <w:t>Treatment</w:t>
            </w:r>
          </w:p>
        </w:tc>
        <w:tc>
          <w:tcPr>
            <w:tcW w:w="7738" w:type="dxa"/>
          </w:tcPr>
          <w:p w14:paraId="70D0CCF1" w14:textId="76C6C17F" w:rsidR="005940E2" w:rsidRPr="00556891" w:rsidRDefault="005940E2" w:rsidP="005940E2">
            <w:pPr>
              <w:rPr>
                <w:rFonts w:ascii="Calibri" w:eastAsia="Times New Roman" w:hAnsi="Calibri" w:cs="Calibri"/>
                <w:color w:val="000000"/>
              </w:rPr>
            </w:pPr>
            <w:r w:rsidRPr="00F049B6">
              <w:t>One of the five configurations in which mussels were transplanted</w:t>
            </w:r>
          </w:p>
        </w:tc>
      </w:tr>
      <w:tr w:rsidR="005940E2" w:rsidRPr="00556891" w14:paraId="7B97219C" w14:textId="77777777" w:rsidTr="006827D5">
        <w:trPr>
          <w:trHeight w:val="260"/>
        </w:trPr>
        <w:tc>
          <w:tcPr>
            <w:tcW w:w="1471" w:type="dxa"/>
            <w:noWrap/>
            <w:hideMark/>
          </w:tcPr>
          <w:p w14:paraId="309CE3BF" w14:textId="348E4B52" w:rsidR="005940E2" w:rsidRPr="00556891" w:rsidRDefault="005940E2" w:rsidP="005940E2">
            <w:pPr>
              <w:rPr>
                <w:rFonts w:ascii="Calibri" w:eastAsia="Times New Roman" w:hAnsi="Calibri" w:cs="Calibri"/>
                <w:color w:val="000000"/>
              </w:rPr>
            </w:pPr>
            <w:r w:rsidRPr="00F049B6">
              <w:t>Fence</w:t>
            </w:r>
          </w:p>
        </w:tc>
        <w:tc>
          <w:tcPr>
            <w:tcW w:w="7738" w:type="dxa"/>
          </w:tcPr>
          <w:p w14:paraId="0DD9E79D" w14:textId="7099D9CF" w:rsidR="005940E2" w:rsidRPr="00556891" w:rsidRDefault="005940E2" w:rsidP="005940E2">
            <w:pPr>
              <w:rPr>
                <w:rFonts w:ascii="Calibri" w:eastAsia="Times New Roman" w:hAnsi="Calibri" w:cs="Calibri"/>
                <w:color w:val="000000"/>
              </w:rPr>
            </w:pPr>
            <w:r w:rsidRPr="00F049B6">
              <w:t>0= no fences, 1=fences</w:t>
            </w:r>
          </w:p>
        </w:tc>
      </w:tr>
      <w:tr w:rsidR="005940E2" w:rsidRPr="00556891" w14:paraId="38EDC46F" w14:textId="77777777" w:rsidTr="006827D5">
        <w:trPr>
          <w:trHeight w:val="260"/>
        </w:trPr>
        <w:tc>
          <w:tcPr>
            <w:tcW w:w="1471" w:type="dxa"/>
            <w:noWrap/>
            <w:hideMark/>
          </w:tcPr>
          <w:p w14:paraId="6FF16AFC" w14:textId="6751592B" w:rsidR="005940E2" w:rsidRPr="00556891" w:rsidRDefault="005940E2" w:rsidP="005940E2">
            <w:pPr>
              <w:rPr>
                <w:rFonts w:ascii="Calibri" w:eastAsia="Times New Roman" w:hAnsi="Calibri" w:cs="Calibri"/>
                <w:color w:val="000000"/>
              </w:rPr>
            </w:pPr>
            <w:r w:rsidRPr="00F049B6">
              <w:t>Density</w:t>
            </w:r>
          </w:p>
        </w:tc>
        <w:tc>
          <w:tcPr>
            <w:tcW w:w="7738" w:type="dxa"/>
          </w:tcPr>
          <w:p w14:paraId="1BA23591" w14:textId="630D3E14" w:rsidR="005940E2" w:rsidRPr="00556891" w:rsidRDefault="005940E2" w:rsidP="005940E2">
            <w:pPr>
              <w:rPr>
                <w:rFonts w:ascii="Calibri" w:eastAsia="Times New Roman" w:hAnsi="Calibri" w:cs="Calibri"/>
                <w:color w:val="000000"/>
              </w:rPr>
            </w:pPr>
            <w:r w:rsidRPr="00F049B6">
              <w:t xml:space="preserve">1=2.1 kg/m2, 2=4.2 kg/m2, 3= 4.2 kg/m2 on a smaller scale  </w:t>
            </w:r>
          </w:p>
        </w:tc>
      </w:tr>
      <w:tr w:rsidR="00A10239" w:rsidRPr="00556891" w14:paraId="7D7618F2" w14:textId="77777777" w:rsidTr="006827D5">
        <w:trPr>
          <w:trHeight w:val="260"/>
        </w:trPr>
        <w:tc>
          <w:tcPr>
            <w:tcW w:w="1471" w:type="dxa"/>
            <w:noWrap/>
            <w:hideMark/>
          </w:tcPr>
          <w:p w14:paraId="1495981D" w14:textId="3D6D0203" w:rsidR="00A10239" w:rsidRPr="00556891" w:rsidRDefault="005940E2" w:rsidP="00A10239">
            <w:pPr>
              <w:rPr>
                <w:rFonts w:ascii="Calibri" w:eastAsia="Times New Roman" w:hAnsi="Calibri" w:cs="Calibri"/>
                <w:color w:val="000000"/>
              </w:rPr>
            </w:pPr>
            <w:r>
              <w:t>Compartment</w:t>
            </w:r>
          </w:p>
        </w:tc>
        <w:tc>
          <w:tcPr>
            <w:tcW w:w="7738" w:type="dxa"/>
          </w:tcPr>
          <w:p w14:paraId="49F95671" w14:textId="3C85885C" w:rsidR="00A10239" w:rsidRPr="00556891" w:rsidRDefault="005940E2" w:rsidP="00A10239">
            <w:pPr>
              <w:rPr>
                <w:rFonts w:ascii="Calibri" w:eastAsia="Times New Roman" w:hAnsi="Calibri" w:cs="Calibri"/>
                <w:color w:val="000000"/>
              </w:rPr>
            </w:pPr>
            <w:r>
              <w:t>1=compartment of plot furthest away from incoming waves, 4= compartment closest to incoming waves</w:t>
            </w:r>
          </w:p>
        </w:tc>
      </w:tr>
      <w:tr w:rsidR="006827D5" w:rsidRPr="00556891" w14:paraId="1BB2B3AC" w14:textId="77777777" w:rsidTr="006827D5">
        <w:trPr>
          <w:trHeight w:val="260"/>
        </w:trPr>
        <w:tc>
          <w:tcPr>
            <w:tcW w:w="1471" w:type="dxa"/>
            <w:noWrap/>
          </w:tcPr>
          <w:p w14:paraId="258AB0CD" w14:textId="07024D9C" w:rsidR="006827D5" w:rsidRDefault="006827D5" w:rsidP="006827D5">
            <w:r w:rsidRPr="00272816">
              <w:t>Coveragem2</w:t>
            </w:r>
          </w:p>
        </w:tc>
        <w:tc>
          <w:tcPr>
            <w:tcW w:w="7738" w:type="dxa"/>
          </w:tcPr>
          <w:p w14:paraId="54AD696F" w14:textId="7E681D42" w:rsidR="006827D5" w:rsidRDefault="006827D5" w:rsidP="006827D5">
            <w:r w:rsidRPr="00272816">
              <w:t>Mussel coverage (m2)</w:t>
            </w:r>
          </w:p>
        </w:tc>
      </w:tr>
      <w:tr w:rsidR="006827D5" w:rsidRPr="00556891" w14:paraId="3F4F6EB9" w14:textId="77777777" w:rsidTr="006827D5">
        <w:trPr>
          <w:trHeight w:val="260"/>
        </w:trPr>
        <w:tc>
          <w:tcPr>
            <w:tcW w:w="1471" w:type="dxa"/>
            <w:noWrap/>
          </w:tcPr>
          <w:p w14:paraId="6AD29380" w14:textId="7B3757A9" w:rsidR="006827D5" w:rsidRDefault="006827D5" w:rsidP="006827D5">
            <w:proofErr w:type="spellStart"/>
            <w:r w:rsidRPr="00272816">
              <w:t>Areaperc</w:t>
            </w:r>
            <w:proofErr w:type="spellEnd"/>
          </w:p>
        </w:tc>
        <w:tc>
          <w:tcPr>
            <w:tcW w:w="7738" w:type="dxa"/>
          </w:tcPr>
          <w:p w14:paraId="2B719435" w14:textId="152AF8A4" w:rsidR="006827D5" w:rsidRDefault="006827D5" w:rsidP="006827D5">
            <w:r w:rsidRPr="00272816">
              <w:t>Mussel coverage (%) compared to start of the experiment</w:t>
            </w:r>
          </w:p>
        </w:tc>
      </w:tr>
    </w:tbl>
    <w:bookmarkEnd w:id="0"/>
    <w:p w14:paraId="36A7EB55" w14:textId="0196670F" w:rsidR="00563A09" w:rsidRPr="00563A09" w:rsidRDefault="00836548" w:rsidP="00563A09">
      <w:pPr>
        <w:rPr>
          <w:b/>
        </w:rPr>
      </w:pPr>
      <w:r w:rsidRPr="00836548">
        <w:rPr>
          <w:b/>
        </w:rPr>
        <w:t xml:space="preserve">Figure </w:t>
      </w:r>
      <w:r w:rsidR="006A2406">
        <w:rPr>
          <w:b/>
        </w:rPr>
        <w:t>4C</w:t>
      </w:r>
      <w:r>
        <w:rPr>
          <w:b/>
        </w:rPr>
        <w:t>:</w:t>
      </w:r>
      <w:r w:rsidRPr="00836548">
        <w:rPr>
          <w:b/>
        </w:rPr>
        <w:t xml:space="preserve"> </w:t>
      </w:r>
      <w:r w:rsidR="006A2406" w:rsidRPr="006A2406">
        <w:rPr>
          <w:bCs/>
        </w:rPr>
        <w:t>Number of mussels per m</w:t>
      </w:r>
      <w:r w:rsidR="006A2406" w:rsidRPr="006A2406">
        <w:rPr>
          <w:bCs/>
          <w:vertAlign w:val="superscript"/>
        </w:rPr>
        <w:t xml:space="preserve">2 </w:t>
      </w:r>
      <w:r w:rsidR="006A2406" w:rsidRPr="006A2406">
        <w:rPr>
          <w:bCs/>
        </w:rPr>
        <w:t>within mussel patches.</w:t>
      </w:r>
    </w:p>
    <w:tbl>
      <w:tblPr>
        <w:tblStyle w:val="TableGridLight"/>
        <w:tblW w:w="9209" w:type="dxa"/>
        <w:tblLook w:val="04A0" w:firstRow="1" w:lastRow="0" w:firstColumn="1" w:lastColumn="0" w:noHBand="0" w:noVBand="1"/>
      </w:tblPr>
      <w:tblGrid>
        <w:gridCol w:w="1471"/>
        <w:gridCol w:w="7738"/>
      </w:tblGrid>
      <w:tr w:rsidR="006827D5" w:rsidRPr="00556891" w14:paraId="64A6D4A8" w14:textId="77777777" w:rsidTr="006827D5">
        <w:trPr>
          <w:trHeight w:val="260"/>
        </w:trPr>
        <w:tc>
          <w:tcPr>
            <w:tcW w:w="1471" w:type="dxa"/>
            <w:noWrap/>
            <w:hideMark/>
          </w:tcPr>
          <w:p w14:paraId="62FBF99D" w14:textId="1594ACE9" w:rsidR="006827D5" w:rsidRPr="00556891" w:rsidRDefault="006827D5" w:rsidP="006827D5">
            <w:pPr>
              <w:rPr>
                <w:rFonts w:ascii="Calibri" w:eastAsia="Times New Roman" w:hAnsi="Calibri" w:cs="Calibri"/>
                <w:color w:val="000000"/>
              </w:rPr>
            </w:pPr>
            <w:r w:rsidRPr="006F3102">
              <w:t>Plot</w:t>
            </w:r>
          </w:p>
        </w:tc>
        <w:tc>
          <w:tcPr>
            <w:tcW w:w="7738" w:type="dxa"/>
          </w:tcPr>
          <w:p w14:paraId="77A3DECA" w14:textId="192C3F09" w:rsidR="006827D5" w:rsidRPr="00556891" w:rsidRDefault="006827D5" w:rsidP="006827D5">
            <w:pPr>
              <w:rPr>
                <w:rFonts w:ascii="Calibri" w:eastAsia="Times New Roman" w:hAnsi="Calibri" w:cs="Calibri"/>
                <w:color w:val="000000"/>
              </w:rPr>
            </w:pPr>
            <w:r w:rsidRPr="006F3102">
              <w:t>Plot id</w:t>
            </w:r>
          </w:p>
        </w:tc>
      </w:tr>
      <w:tr w:rsidR="006827D5" w:rsidRPr="00556891" w14:paraId="672D915F" w14:textId="77777777" w:rsidTr="006827D5">
        <w:trPr>
          <w:trHeight w:val="260"/>
        </w:trPr>
        <w:tc>
          <w:tcPr>
            <w:tcW w:w="1471" w:type="dxa"/>
            <w:noWrap/>
            <w:hideMark/>
          </w:tcPr>
          <w:p w14:paraId="6F3912CF" w14:textId="755A77E6" w:rsidR="006827D5" w:rsidRPr="00556891" w:rsidRDefault="006827D5" w:rsidP="006827D5">
            <w:pPr>
              <w:rPr>
                <w:rFonts w:ascii="Calibri" w:eastAsia="Times New Roman" w:hAnsi="Calibri" w:cs="Calibri"/>
                <w:color w:val="000000"/>
              </w:rPr>
            </w:pPr>
            <w:r w:rsidRPr="006F3102">
              <w:t>Treatment</w:t>
            </w:r>
          </w:p>
        </w:tc>
        <w:tc>
          <w:tcPr>
            <w:tcW w:w="7738" w:type="dxa"/>
          </w:tcPr>
          <w:p w14:paraId="7B9390F9" w14:textId="3D539577" w:rsidR="006827D5" w:rsidRPr="00556891" w:rsidRDefault="006827D5" w:rsidP="006827D5">
            <w:pPr>
              <w:rPr>
                <w:rFonts w:ascii="Calibri" w:eastAsia="Times New Roman" w:hAnsi="Calibri" w:cs="Calibri"/>
                <w:color w:val="000000"/>
              </w:rPr>
            </w:pPr>
            <w:r w:rsidRPr="006F3102">
              <w:t>One of the five configurations in which mussels were transplanted</w:t>
            </w:r>
          </w:p>
        </w:tc>
      </w:tr>
      <w:tr w:rsidR="006827D5" w:rsidRPr="00556891" w14:paraId="303D9364" w14:textId="77777777" w:rsidTr="006827D5">
        <w:trPr>
          <w:trHeight w:val="260"/>
        </w:trPr>
        <w:tc>
          <w:tcPr>
            <w:tcW w:w="1471" w:type="dxa"/>
            <w:noWrap/>
          </w:tcPr>
          <w:p w14:paraId="660D7FF5" w14:textId="4D955634" w:rsidR="006827D5" w:rsidRPr="006F3102" w:rsidRDefault="006827D5" w:rsidP="006827D5">
            <w:r w:rsidRPr="0086191E">
              <w:t>Compartment</w:t>
            </w:r>
          </w:p>
        </w:tc>
        <w:tc>
          <w:tcPr>
            <w:tcW w:w="7738" w:type="dxa"/>
          </w:tcPr>
          <w:p w14:paraId="2EF2B604" w14:textId="7518DB75" w:rsidR="006827D5" w:rsidRPr="006F3102" w:rsidRDefault="006827D5" w:rsidP="006827D5">
            <w:r w:rsidRPr="0086191E">
              <w:t>1=compartment of plot furthest away from incoming waves, 4= compartment closest to incoming waves</w:t>
            </w:r>
          </w:p>
        </w:tc>
      </w:tr>
      <w:tr w:rsidR="006827D5" w:rsidRPr="00556891" w14:paraId="368E267B" w14:textId="77777777" w:rsidTr="006827D5">
        <w:trPr>
          <w:trHeight w:val="260"/>
        </w:trPr>
        <w:tc>
          <w:tcPr>
            <w:tcW w:w="1471" w:type="dxa"/>
            <w:noWrap/>
          </w:tcPr>
          <w:p w14:paraId="75053D74" w14:textId="4DBE463B" w:rsidR="006827D5" w:rsidRPr="0086191E" w:rsidRDefault="006827D5" w:rsidP="006827D5">
            <w:r>
              <w:t>Sample</w:t>
            </w:r>
          </w:p>
        </w:tc>
        <w:tc>
          <w:tcPr>
            <w:tcW w:w="7738" w:type="dxa"/>
          </w:tcPr>
          <w:p w14:paraId="65137576" w14:textId="7814B5C2" w:rsidR="006827D5" w:rsidRPr="0086191E" w:rsidRDefault="006827D5" w:rsidP="006827D5">
            <w:r>
              <w:t>Sample 1d, 3 cores were taken in every compartment</w:t>
            </w:r>
          </w:p>
        </w:tc>
      </w:tr>
      <w:tr w:rsidR="006827D5" w:rsidRPr="00556891" w14:paraId="73D39BA3" w14:textId="77777777" w:rsidTr="006827D5">
        <w:trPr>
          <w:trHeight w:val="260"/>
        </w:trPr>
        <w:tc>
          <w:tcPr>
            <w:tcW w:w="1471" w:type="dxa"/>
            <w:noWrap/>
          </w:tcPr>
          <w:p w14:paraId="743E9357" w14:textId="0AE127EE" w:rsidR="006827D5" w:rsidRDefault="006827D5" w:rsidP="006827D5">
            <w:pPr>
              <w:rPr>
                <w:rFonts w:ascii="Calibri" w:eastAsia="Times New Roman" w:hAnsi="Calibri" w:cs="Calibri"/>
                <w:color w:val="000000"/>
              </w:rPr>
            </w:pPr>
            <w:r w:rsidRPr="006F3102">
              <w:t>Fence</w:t>
            </w:r>
          </w:p>
        </w:tc>
        <w:tc>
          <w:tcPr>
            <w:tcW w:w="7738" w:type="dxa"/>
          </w:tcPr>
          <w:p w14:paraId="1FA764D2" w14:textId="05E41F38" w:rsidR="006827D5" w:rsidRDefault="006827D5" w:rsidP="006827D5">
            <w:pPr>
              <w:rPr>
                <w:rFonts w:ascii="Calibri" w:eastAsia="Times New Roman" w:hAnsi="Calibri" w:cs="Calibri"/>
                <w:color w:val="000000"/>
              </w:rPr>
            </w:pPr>
            <w:r w:rsidRPr="006F3102">
              <w:t>0= no fences, 1=fences</w:t>
            </w:r>
          </w:p>
        </w:tc>
      </w:tr>
      <w:tr w:rsidR="006827D5" w:rsidRPr="00556891" w14:paraId="4067070F" w14:textId="77777777" w:rsidTr="006827D5">
        <w:trPr>
          <w:trHeight w:val="260"/>
        </w:trPr>
        <w:tc>
          <w:tcPr>
            <w:tcW w:w="1471" w:type="dxa"/>
            <w:noWrap/>
          </w:tcPr>
          <w:p w14:paraId="1E96259A" w14:textId="3EC081A7" w:rsidR="006827D5" w:rsidRDefault="006827D5" w:rsidP="006827D5">
            <w:pPr>
              <w:rPr>
                <w:rFonts w:ascii="Calibri" w:eastAsia="Times New Roman" w:hAnsi="Calibri" w:cs="Calibri"/>
                <w:color w:val="000000"/>
              </w:rPr>
            </w:pPr>
            <w:r w:rsidRPr="006F3102">
              <w:t>Density</w:t>
            </w:r>
          </w:p>
        </w:tc>
        <w:tc>
          <w:tcPr>
            <w:tcW w:w="7738" w:type="dxa"/>
          </w:tcPr>
          <w:p w14:paraId="012D42C4" w14:textId="38E148C8" w:rsidR="006827D5" w:rsidRDefault="006827D5" w:rsidP="006827D5">
            <w:pPr>
              <w:rPr>
                <w:rFonts w:ascii="Calibri" w:eastAsia="Times New Roman" w:hAnsi="Calibri" w:cs="Calibri"/>
                <w:color w:val="000000"/>
              </w:rPr>
            </w:pPr>
            <w:r w:rsidRPr="006F3102">
              <w:t xml:space="preserve">1=2.1 kg/m2, 2=4.2 kg/m2, 3= 4.2 kg/m2 on a smaller scale  </w:t>
            </w:r>
          </w:p>
        </w:tc>
      </w:tr>
      <w:tr w:rsidR="00836548" w:rsidRPr="00556891" w14:paraId="7877181E" w14:textId="77777777" w:rsidTr="006827D5">
        <w:trPr>
          <w:trHeight w:val="260"/>
        </w:trPr>
        <w:tc>
          <w:tcPr>
            <w:tcW w:w="1471" w:type="dxa"/>
            <w:noWrap/>
          </w:tcPr>
          <w:p w14:paraId="7997BBB7" w14:textId="057EA996" w:rsidR="00836548" w:rsidRPr="002C2524" w:rsidRDefault="006827D5" w:rsidP="00836548">
            <w:proofErr w:type="spellStart"/>
            <w:r>
              <w:t>nrmussels</w:t>
            </w:r>
            <w:proofErr w:type="spellEnd"/>
          </w:p>
        </w:tc>
        <w:tc>
          <w:tcPr>
            <w:tcW w:w="7738" w:type="dxa"/>
          </w:tcPr>
          <w:p w14:paraId="4D094A60" w14:textId="65D02E66" w:rsidR="00836548" w:rsidRPr="002C2524" w:rsidRDefault="006827D5" w:rsidP="00836548">
            <w:r>
              <w:rPr>
                <w:bCs/>
              </w:rPr>
              <w:t>Number of mussels counted inside core sample</w:t>
            </w:r>
          </w:p>
        </w:tc>
      </w:tr>
      <w:tr w:rsidR="00836548" w:rsidRPr="00556891" w14:paraId="32174314" w14:textId="77777777" w:rsidTr="006827D5">
        <w:trPr>
          <w:trHeight w:val="260"/>
        </w:trPr>
        <w:tc>
          <w:tcPr>
            <w:tcW w:w="1471" w:type="dxa"/>
            <w:noWrap/>
          </w:tcPr>
          <w:p w14:paraId="342B579C" w14:textId="50960BB0" w:rsidR="00836548" w:rsidRPr="00836548" w:rsidRDefault="006827D5" w:rsidP="00836548">
            <w:r>
              <w:t>Nrm2</w:t>
            </w:r>
          </w:p>
        </w:tc>
        <w:tc>
          <w:tcPr>
            <w:tcW w:w="7738" w:type="dxa"/>
          </w:tcPr>
          <w:p w14:paraId="7DCCBA62" w14:textId="160FBAB8" w:rsidR="00836548" w:rsidRPr="002C2524" w:rsidRDefault="006827D5" w:rsidP="00836548">
            <w:r>
              <w:rPr>
                <w:bCs/>
              </w:rPr>
              <w:t>Estimated number of mussels per m</w:t>
            </w:r>
            <w:r w:rsidRPr="006827D5">
              <w:rPr>
                <w:bCs/>
                <w:vertAlign w:val="superscript"/>
              </w:rPr>
              <w:t>2</w:t>
            </w:r>
          </w:p>
        </w:tc>
      </w:tr>
    </w:tbl>
    <w:p w14:paraId="4EFC435F" w14:textId="5BB6A065" w:rsidR="006A2406" w:rsidRDefault="006A2406" w:rsidP="006A2406">
      <w:pPr>
        <w:rPr>
          <w:bCs/>
        </w:rPr>
      </w:pPr>
      <w:r w:rsidRPr="006A2406">
        <w:rPr>
          <w:b/>
        </w:rPr>
        <w:t xml:space="preserve">Figure </w:t>
      </w:r>
      <w:r>
        <w:rPr>
          <w:b/>
        </w:rPr>
        <w:t>5</w:t>
      </w:r>
      <w:r w:rsidRPr="006A2406">
        <w:rPr>
          <w:b/>
        </w:rPr>
        <w:t xml:space="preserve">: </w:t>
      </w:r>
      <w:r w:rsidRPr="006A2406">
        <w:rPr>
          <w:bCs/>
        </w:rPr>
        <w:t xml:space="preserve">The percentage of mussel biomass remaining in: </w:t>
      </w:r>
      <w:r w:rsidRPr="006A2406">
        <w:rPr>
          <w:bCs/>
          <w:i/>
        </w:rPr>
        <w:t xml:space="preserve">closed </w:t>
      </w:r>
      <w:r w:rsidRPr="006A2406">
        <w:rPr>
          <w:bCs/>
          <w:iCs/>
        </w:rPr>
        <w:t>cages</w:t>
      </w:r>
      <w:r w:rsidRPr="006A2406">
        <w:rPr>
          <w:bCs/>
        </w:rPr>
        <w:t xml:space="preserve"> (protected against predatory crabs and washing out by waves); </w:t>
      </w:r>
      <w:r w:rsidRPr="006A2406">
        <w:rPr>
          <w:bCs/>
          <w:i/>
        </w:rPr>
        <w:t>half open</w:t>
      </w:r>
      <w:r w:rsidRPr="006A2406">
        <w:rPr>
          <w:bCs/>
        </w:rPr>
        <w:t xml:space="preserve"> cages (protected against washing out but not against predatory crabs); </w:t>
      </w:r>
      <w:r w:rsidRPr="006A2406">
        <w:rPr>
          <w:bCs/>
          <w:i/>
        </w:rPr>
        <w:t>open</w:t>
      </w:r>
      <w:r w:rsidRPr="006A2406">
        <w:rPr>
          <w:bCs/>
        </w:rPr>
        <w:t xml:space="preserve"> cages (not protected against predation or against washing out). Cages were </w:t>
      </w:r>
      <w:r w:rsidRPr="006A2406">
        <w:rPr>
          <w:bCs/>
        </w:rPr>
        <w:lastRenderedPageBreak/>
        <w:t>placed in plots with no surrounding mussels (blue), in low density mussel plots (yellow) or in high density mussel plots (grey). Cages with different densities were grouped together as density had no significant effect on the number of surviving mussels.</w:t>
      </w:r>
    </w:p>
    <w:tbl>
      <w:tblPr>
        <w:tblStyle w:val="TableGridLight"/>
        <w:tblW w:w="9209" w:type="dxa"/>
        <w:tblLook w:val="04A0" w:firstRow="1" w:lastRow="0" w:firstColumn="1" w:lastColumn="0" w:noHBand="0" w:noVBand="1"/>
      </w:tblPr>
      <w:tblGrid>
        <w:gridCol w:w="1525"/>
        <w:gridCol w:w="7684"/>
      </w:tblGrid>
      <w:tr w:rsidR="006827D5" w:rsidRPr="00556891" w14:paraId="10808B01" w14:textId="77777777" w:rsidTr="00853E28">
        <w:trPr>
          <w:trHeight w:val="260"/>
        </w:trPr>
        <w:tc>
          <w:tcPr>
            <w:tcW w:w="1471" w:type="dxa"/>
            <w:noWrap/>
            <w:hideMark/>
          </w:tcPr>
          <w:p w14:paraId="1D50A3F8" w14:textId="77777777" w:rsidR="006827D5" w:rsidRPr="00556891" w:rsidRDefault="006827D5" w:rsidP="00853E28">
            <w:pPr>
              <w:rPr>
                <w:rFonts w:ascii="Calibri" w:eastAsia="Times New Roman" w:hAnsi="Calibri" w:cs="Calibri"/>
                <w:color w:val="000000"/>
              </w:rPr>
            </w:pPr>
            <w:r w:rsidRPr="00F049B6">
              <w:t>Plot</w:t>
            </w:r>
          </w:p>
        </w:tc>
        <w:tc>
          <w:tcPr>
            <w:tcW w:w="7738" w:type="dxa"/>
          </w:tcPr>
          <w:p w14:paraId="39AF2DE5" w14:textId="77777777" w:rsidR="006827D5" w:rsidRPr="00556891" w:rsidRDefault="006827D5" w:rsidP="00853E28">
            <w:pPr>
              <w:rPr>
                <w:rFonts w:ascii="Calibri" w:eastAsia="Times New Roman" w:hAnsi="Calibri" w:cs="Calibri"/>
                <w:color w:val="000000"/>
              </w:rPr>
            </w:pPr>
            <w:r w:rsidRPr="00F049B6">
              <w:t>Plot id</w:t>
            </w:r>
          </w:p>
        </w:tc>
      </w:tr>
      <w:tr w:rsidR="006827D5" w:rsidRPr="00556891" w14:paraId="7527329C" w14:textId="77777777" w:rsidTr="00853E28">
        <w:trPr>
          <w:trHeight w:val="260"/>
        </w:trPr>
        <w:tc>
          <w:tcPr>
            <w:tcW w:w="1471" w:type="dxa"/>
            <w:noWrap/>
            <w:hideMark/>
          </w:tcPr>
          <w:p w14:paraId="2E614C8D" w14:textId="77777777" w:rsidR="006827D5" w:rsidRPr="00556891" w:rsidRDefault="006827D5" w:rsidP="00853E28">
            <w:pPr>
              <w:rPr>
                <w:rFonts w:ascii="Calibri" w:eastAsia="Times New Roman" w:hAnsi="Calibri" w:cs="Calibri"/>
                <w:color w:val="000000"/>
              </w:rPr>
            </w:pPr>
            <w:r w:rsidRPr="00F049B6">
              <w:t>Treatment</w:t>
            </w:r>
          </w:p>
        </w:tc>
        <w:tc>
          <w:tcPr>
            <w:tcW w:w="7738" w:type="dxa"/>
          </w:tcPr>
          <w:p w14:paraId="65C296FC" w14:textId="36F44303" w:rsidR="006827D5" w:rsidRPr="00556891" w:rsidRDefault="006827D5" w:rsidP="00853E28">
            <w:pPr>
              <w:rPr>
                <w:rFonts w:ascii="Calibri" w:eastAsia="Times New Roman" w:hAnsi="Calibri" w:cs="Calibri"/>
                <w:color w:val="000000"/>
              </w:rPr>
            </w:pPr>
            <w:r w:rsidRPr="00F049B6">
              <w:t xml:space="preserve">One of the </w:t>
            </w:r>
            <w:r>
              <w:t>3</w:t>
            </w:r>
            <w:r w:rsidRPr="00F049B6">
              <w:t xml:space="preserve"> configurations in which </w:t>
            </w:r>
            <w:r>
              <w:t xml:space="preserve">cages with </w:t>
            </w:r>
            <w:r w:rsidRPr="00F049B6">
              <w:t xml:space="preserve">mussels were </w:t>
            </w:r>
            <w:r>
              <w:t>placed</w:t>
            </w:r>
          </w:p>
        </w:tc>
      </w:tr>
      <w:tr w:rsidR="006827D5" w:rsidRPr="00556891" w14:paraId="62583B77" w14:textId="77777777" w:rsidTr="00853E28">
        <w:trPr>
          <w:trHeight w:val="260"/>
        </w:trPr>
        <w:tc>
          <w:tcPr>
            <w:tcW w:w="1471" w:type="dxa"/>
            <w:noWrap/>
            <w:hideMark/>
          </w:tcPr>
          <w:p w14:paraId="7BCD8E8B" w14:textId="77777777" w:rsidR="006827D5" w:rsidRPr="00556891" w:rsidRDefault="006827D5" w:rsidP="00853E28">
            <w:pPr>
              <w:rPr>
                <w:rFonts w:ascii="Calibri" w:eastAsia="Times New Roman" w:hAnsi="Calibri" w:cs="Calibri"/>
                <w:color w:val="000000"/>
              </w:rPr>
            </w:pPr>
            <w:r w:rsidRPr="00F049B6">
              <w:t>Fence</w:t>
            </w:r>
          </w:p>
        </w:tc>
        <w:tc>
          <w:tcPr>
            <w:tcW w:w="7738" w:type="dxa"/>
          </w:tcPr>
          <w:p w14:paraId="17E25EB6" w14:textId="77777777" w:rsidR="006827D5" w:rsidRPr="00556891" w:rsidRDefault="006827D5" w:rsidP="00853E28">
            <w:pPr>
              <w:rPr>
                <w:rFonts w:ascii="Calibri" w:eastAsia="Times New Roman" w:hAnsi="Calibri" w:cs="Calibri"/>
                <w:color w:val="000000"/>
              </w:rPr>
            </w:pPr>
            <w:r w:rsidRPr="00F049B6">
              <w:t>0= no fences, 1=fences</w:t>
            </w:r>
          </w:p>
        </w:tc>
      </w:tr>
      <w:tr w:rsidR="006827D5" w:rsidRPr="00556891" w14:paraId="0FC12514" w14:textId="77777777" w:rsidTr="00853E28">
        <w:trPr>
          <w:trHeight w:val="260"/>
        </w:trPr>
        <w:tc>
          <w:tcPr>
            <w:tcW w:w="1471" w:type="dxa"/>
            <w:noWrap/>
            <w:hideMark/>
          </w:tcPr>
          <w:p w14:paraId="6DEE2BC7" w14:textId="77777777" w:rsidR="006827D5" w:rsidRPr="00556891" w:rsidRDefault="006827D5" w:rsidP="00853E28">
            <w:pPr>
              <w:rPr>
                <w:rFonts w:ascii="Calibri" w:eastAsia="Times New Roman" w:hAnsi="Calibri" w:cs="Calibri"/>
                <w:color w:val="000000"/>
              </w:rPr>
            </w:pPr>
            <w:r w:rsidRPr="00F049B6">
              <w:t>Density</w:t>
            </w:r>
          </w:p>
        </w:tc>
        <w:tc>
          <w:tcPr>
            <w:tcW w:w="7738" w:type="dxa"/>
          </w:tcPr>
          <w:p w14:paraId="6512728B" w14:textId="7B2F22B7" w:rsidR="006827D5" w:rsidRPr="00556891" w:rsidRDefault="006827D5" w:rsidP="00853E28">
            <w:pPr>
              <w:rPr>
                <w:rFonts w:ascii="Calibri" w:eastAsia="Times New Roman" w:hAnsi="Calibri" w:cs="Calibri"/>
                <w:color w:val="000000"/>
              </w:rPr>
            </w:pPr>
            <w:r>
              <w:t>2.5, 5 or 10 kg/m</w:t>
            </w:r>
            <w:r w:rsidRPr="006827D5">
              <w:rPr>
                <w:vertAlign w:val="superscript"/>
              </w:rPr>
              <w:t>2</w:t>
            </w:r>
            <w:r>
              <w:t xml:space="preserve"> were placed inside the cages</w:t>
            </w:r>
          </w:p>
        </w:tc>
      </w:tr>
      <w:tr w:rsidR="006827D5" w:rsidRPr="00556891" w14:paraId="478527D3" w14:textId="77777777" w:rsidTr="00853E28">
        <w:trPr>
          <w:trHeight w:val="260"/>
        </w:trPr>
        <w:tc>
          <w:tcPr>
            <w:tcW w:w="1471" w:type="dxa"/>
            <w:noWrap/>
            <w:hideMark/>
          </w:tcPr>
          <w:p w14:paraId="7FB816ED" w14:textId="238AB162" w:rsidR="006827D5" w:rsidRPr="00556891" w:rsidRDefault="00454756" w:rsidP="00853E28">
            <w:pPr>
              <w:rPr>
                <w:rFonts w:ascii="Calibri" w:eastAsia="Times New Roman" w:hAnsi="Calibri" w:cs="Calibri"/>
                <w:color w:val="000000"/>
              </w:rPr>
            </w:pPr>
            <w:r>
              <w:t>C</w:t>
            </w:r>
            <w:r w:rsidR="006827D5">
              <w:t>age</w:t>
            </w:r>
          </w:p>
        </w:tc>
        <w:tc>
          <w:tcPr>
            <w:tcW w:w="7738" w:type="dxa"/>
          </w:tcPr>
          <w:p w14:paraId="545477CF" w14:textId="2712C4DE" w:rsidR="006827D5" w:rsidRPr="00556891" w:rsidRDefault="00454756" w:rsidP="00853E28">
            <w:pPr>
              <w:rPr>
                <w:rFonts w:ascii="Calibri" w:eastAsia="Times New Roman" w:hAnsi="Calibri" w:cs="Calibri"/>
                <w:color w:val="000000"/>
              </w:rPr>
            </w:pPr>
            <w:r w:rsidRPr="00454756">
              <w:t>Mussels were transplanted 1) in completely closed cages to provide protection against both predation and washing out due to waves, 2) in half open cages that allowed predatory crabs to enter, but prevented mussels being washed out, and 3) completely open on bare sediment</w:t>
            </w:r>
          </w:p>
        </w:tc>
      </w:tr>
      <w:tr w:rsidR="006827D5" w14:paraId="0536331C" w14:textId="77777777" w:rsidTr="00853E28">
        <w:trPr>
          <w:trHeight w:val="260"/>
        </w:trPr>
        <w:tc>
          <w:tcPr>
            <w:tcW w:w="1471" w:type="dxa"/>
            <w:noWrap/>
          </w:tcPr>
          <w:p w14:paraId="5A55AB82" w14:textId="7C1F8E41" w:rsidR="006827D5" w:rsidRDefault="00454756" w:rsidP="00853E28">
            <w:proofErr w:type="spellStart"/>
            <w:r w:rsidRPr="00454756">
              <w:t>nrmussels</w:t>
            </w:r>
            <w:proofErr w:type="spellEnd"/>
          </w:p>
        </w:tc>
        <w:tc>
          <w:tcPr>
            <w:tcW w:w="7738" w:type="dxa"/>
          </w:tcPr>
          <w:p w14:paraId="23A17C9C" w14:textId="69E683E8" w:rsidR="006827D5" w:rsidRDefault="00454756" w:rsidP="00853E28">
            <w:r>
              <w:t xml:space="preserve">Number of mussels counted at the end of the experiment </w:t>
            </w:r>
          </w:p>
        </w:tc>
      </w:tr>
      <w:tr w:rsidR="006827D5" w14:paraId="4316CFA4" w14:textId="77777777" w:rsidTr="00853E28">
        <w:trPr>
          <w:trHeight w:val="260"/>
        </w:trPr>
        <w:tc>
          <w:tcPr>
            <w:tcW w:w="1471" w:type="dxa"/>
            <w:noWrap/>
          </w:tcPr>
          <w:p w14:paraId="0B5362C3" w14:textId="4477679F" w:rsidR="006827D5" w:rsidRDefault="00454756" w:rsidP="00853E28">
            <w:proofErr w:type="spellStart"/>
            <w:r>
              <w:t>wetweight</w:t>
            </w:r>
            <w:proofErr w:type="spellEnd"/>
          </w:p>
        </w:tc>
        <w:tc>
          <w:tcPr>
            <w:tcW w:w="7738" w:type="dxa"/>
          </w:tcPr>
          <w:p w14:paraId="19007F0D" w14:textId="5D22C3F1" w:rsidR="006827D5" w:rsidRDefault="00454756" w:rsidP="00853E28">
            <w:r>
              <w:t>Total wet weight of the mussels at the end of the experiment</w:t>
            </w:r>
          </w:p>
        </w:tc>
      </w:tr>
      <w:tr w:rsidR="00454756" w14:paraId="39E86163" w14:textId="77777777" w:rsidTr="00853E28">
        <w:trPr>
          <w:trHeight w:val="260"/>
        </w:trPr>
        <w:tc>
          <w:tcPr>
            <w:tcW w:w="1471" w:type="dxa"/>
            <w:noWrap/>
          </w:tcPr>
          <w:p w14:paraId="6FC135F2" w14:textId="798C39CF" w:rsidR="00454756" w:rsidRDefault="00454756" w:rsidP="00853E28">
            <w:proofErr w:type="spellStart"/>
            <w:r>
              <w:t>Survialnr</w:t>
            </w:r>
            <w:proofErr w:type="spellEnd"/>
          </w:p>
        </w:tc>
        <w:tc>
          <w:tcPr>
            <w:tcW w:w="7738" w:type="dxa"/>
          </w:tcPr>
          <w:p w14:paraId="623F8544" w14:textId="5993F4BC" w:rsidR="00454756" w:rsidRDefault="00454756" w:rsidP="00853E28">
            <w:r>
              <w:t>Percentage mussels that survived</w:t>
            </w:r>
          </w:p>
        </w:tc>
      </w:tr>
      <w:tr w:rsidR="00454756" w14:paraId="389FE0E8" w14:textId="77777777" w:rsidTr="00853E28">
        <w:trPr>
          <w:trHeight w:val="260"/>
        </w:trPr>
        <w:tc>
          <w:tcPr>
            <w:tcW w:w="1471" w:type="dxa"/>
            <w:noWrap/>
          </w:tcPr>
          <w:p w14:paraId="7CC6E58E" w14:textId="098006BA" w:rsidR="00454756" w:rsidRDefault="00454756" w:rsidP="00853E28">
            <w:proofErr w:type="spellStart"/>
            <w:r>
              <w:t>Survivalweight</w:t>
            </w:r>
            <w:proofErr w:type="spellEnd"/>
          </w:p>
        </w:tc>
        <w:tc>
          <w:tcPr>
            <w:tcW w:w="7738" w:type="dxa"/>
          </w:tcPr>
          <w:p w14:paraId="75618107" w14:textId="38FD8A15" w:rsidR="00454756" w:rsidRDefault="00454756" w:rsidP="00853E28">
            <w:r>
              <w:t>Percentage wet weight mussels compared to start of the experiment</w:t>
            </w:r>
          </w:p>
        </w:tc>
      </w:tr>
    </w:tbl>
    <w:p w14:paraId="08342214" w14:textId="77777777" w:rsidR="006827D5" w:rsidRPr="006A2406" w:rsidRDefault="006827D5" w:rsidP="006A2406">
      <w:pPr>
        <w:rPr>
          <w:b/>
        </w:rPr>
      </w:pPr>
    </w:p>
    <w:p w14:paraId="294DA0FF" w14:textId="77777777" w:rsidR="00756E4C" w:rsidRPr="00563CCA" w:rsidRDefault="00756E4C"/>
    <w:sectPr w:rsidR="00756E4C" w:rsidRPr="00563C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CCA"/>
    <w:rsid w:val="00111496"/>
    <w:rsid w:val="00454756"/>
    <w:rsid w:val="00556891"/>
    <w:rsid w:val="00563A09"/>
    <w:rsid w:val="00563CCA"/>
    <w:rsid w:val="005940E2"/>
    <w:rsid w:val="006125E8"/>
    <w:rsid w:val="006827D5"/>
    <w:rsid w:val="006A2406"/>
    <w:rsid w:val="00756E4C"/>
    <w:rsid w:val="00836548"/>
    <w:rsid w:val="008D7FF3"/>
    <w:rsid w:val="009F332E"/>
    <w:rsid w:val="00A10239"/>
    <w:rsid w:val="00C80D6D"/>
    <w:rsid w:val="00DB592D"/>
    <w:rsid w:val="00F42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588F5"/>
  <w15:chartTrackingRefBased/>
  <w15:docId w15:val="{B26CDE0C-D33B-44CF-83A3-683E4DF6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23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0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80D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6A2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406"/>
    <w:rPr>
      <w:rFonts w:ascii="Segoe UI" w:hAnsi="Segoe UI" w:cs="Segoe UI"/>
      <w:sz w:val="18"/>
      <w:szCs w:val="18"/>
    </w:rPr>
  </w:style>
  <w:style w:type="paragraph" w:styleId="CommentText">
    <w:name w:val="annotation text"/>
    <w:basedOn w:val="Normal"/>
    <w:link w:val="CommentTextChar"/>
    <w:uiPriority w:val="99"/>
    <w:unhideWhenUsed/>
    <w:rsid w:val="006A2406"/>
    <w:pPr>
      <w:spacing w:line="240" w:lineRule="auto"/>
    </w:pPr>
    <w:rPr>
      <w:sz w:val="20"/>
      <w:szCs w:val="20"/>
    </w:rPr>
  </w:style>
  <w:style w:type="character" w:customStyle="1" w:styleId="CommentTextChar">
    <w:name w:val="Comment Text Char"/>
    <w:basedOn w:val="DefaultParagraphFont"/>
    <w:link w:val="CommentText"/>
    <w:uiPriority w:val="99"/>
    <w:rsid w:val="006A2406"/>
    <w:rPr>
      <w:sz w:val="20"/>
      <w:szCs w:val="20"/>
    </w:rPr>
  </w:style>
  <w:style w:type="character" w:styleId="CommentReference">
    <w:name w:val="annotation reference"/>
    <w:basedOn w:val="DefaultParagraphFont"/>
    <w:uiPriority w:val="99"/>
    <w:semiHidden/>
    <w:unhideWhenUsed/>
    <w:rsid w:val="006A2406"/>
    <w:rPr>
      <w:sz w:val="16"/>
      <w:szCs w:val="16"/>
    </w:rPr>
  </w:style>
  <w:style w:type="character" w:styleId="Hyperlink">
    <w:name w:val="Hyperlink"/>
    <w:basedOn w:val="DefaultParagraphFont"/>
    <w:uiPriority w:val="99"/>
    <w:unhideWhenUsed/>
    <w:rsid w:val="006A2406"/>
    <w:rPr>
      <w:color w:val="0563C1" w:themeColor="hyperlink"/>
      <w:u w:val="single"/>
    </w:rPr>
  </w:style>
  <w:style w:type="paragraph" w:styleId="Title">
    <w:name w:val="Title"/>
    <w:basedOn w:val="Normal"/>
    <w:next w:val="Normal"/>
    <w:link w:val="TitleChar"/>
    <w:uiPriority w:val="10"/>
    <w:qFormat/>
    <w:rsid w:val="006A24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240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408548">
      <w:bodyDiv w:val="1"/>
      <w:marLeft w:val="0"/>
      <w:marRight w:val="0"/>
      <w:marTop w:val="0"/>
      <w:marBottom w:val="0"/>
      <w:divBdr>
        <w:top w:val="none" w:sz="0" w:space="0" w:color="auto"/>
        <w:left w:val="none" w:sz="0" w:space="0" w:color="auto"/>
        <w:bottom w:val="none" w:sz="0" w:space="0" w:color="auto"/>
        <w:right w:val="none" w:sz="0" w:space="0" w:color="auto"/>
      </w:divBdr>
    </w:div>
    <w:div w:id="105246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HZ University Of Applied Sciences</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Schotanus</dc:creator>
  <cp:keywords/>
  <dc:description/>
  <cp:lastModifiedBy>Jildou Schotanus</cp:lastModifiedBy>
  <cp:revision>2</cp:revision>
  <dcterms:created xsi:type="dcterms:W3CDTF">2020-06-12T09:32:00Z</dcterms:created>
  <dcterms:modified xsi:type="dcterms:W3CDTF">2020-06-12T09:32:00Z</dcterms:modified>
</cp:coreProperties>
</file>