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E1ED8" w14:textId="77777777" w:rsidR="009C029C" w:rsidRPr="00F144ED" w:rsidRDefault="009C029C" w:rsidP="009C029C">
      <w:pPr>
        <w:pStyle w:val="paragraph"/>
        <w:spacing w:before="0" w:beforeAutospacing="0" w:after="0" w:afterAutospacing="0"/>
        <w:contextualSpacing/>
        <w:textAlignment w:val="baseline"/>
        <w:rPr>
          <w:rStyle w:val="normaltextrun"/>
          <w:sz w:val="40"/>
          <w:szCs w:val="40"/>
          <w:lang w:val="en-US"/>
        </w:rPr>
      </w:pPr>
    </w:p>
    <w:p w14:paraId="3C1B59C6" w14:textId="77777777" w:rsidR="005409AD" w:rsidRPr="00F144ED" w:rsidRDefault="005409AD" w:rsidP="005409AD">
      <w:pPr>
        <w:pStyle w:val="paragraph"/>
        <w:spacing w:before="0" w:beforeAutospacing="0" w:after="0" w:afterAutospacing="0"/>
        <w:contextualSpacing/>
        <w:jc w:val="center"/>
        <w:textAlignment w:val="baseline"/>
        <w:rPr>
          <w:rStyle w:val="normaltextrun"/>
          <w:b/>
          <w:bCs/>
          <w:sz w:val="40"/>
          <w:szCs w:val="40"/>
          <w:lang w:val="en-US"/>
        </w:rPr>
      </w:pPr>
      <w:bookmarkStart w:id="0" w:name="_Hlk106225533"/>
      <w:r w:rsidRPr="00F144ED">
        <w:rPr>
          <w:rStyle w:val="normaltextrun"/>
          <w:b/>
          <w:bCs/>
          <w:i/>
          <w:iCs/>
          <w:sz w:val="40"/>
          <w:szCs w:val="40"/>
          <w:lang w:val="en-US"/>
        </w:rPr>
        <w:t xml:space="preserve">Pieris brassicae </w:t>
      </w:r>
      <w:r w:rsidRPr="00F144ED">
        <w:rPr>
          <w:rStyle w:val="normaltextrun"/>
          <w:b/>
          <w:bCs/>
          <w:sz w:val="40"/>
          <w:szCs w:val="40"/>
          <w:lang w:val="en-US"/>
        </w:rPr>
        <w:t xml:space="preserve">egg-induced cell death </w:t>
      </w:r>
    </w:p>
    <w:p w14:paraId="004FC62B" w14:textId="77777777" w:rsidR="005409AD" w:rsidRPr="00F144ED" w:rsidRDefault="005409AD" w:rsidP="005409AD">
      <w:pPr>
        <w:pStyle w:val="paragraph"/>
        <w:spacing w:before="0" w:beforeAutospacing="0" w:after="0" w:afterAutospacing="0"/>
        <w:contextualSpacing/>
        <w:jc w:val="center"/>
        <w:textAlignment w:val="baseline"/>
        <w:rPr>
          <w:rStyle w:val="normaltextrun"/>
          <w:b/>
          <w:bCs/>
          <w:sz w:val="40"/>
          <w:szCs w:val="40"/>
          <w:lang w:val="en-US"/>
        </w:rPr>
      </w:pPr>
      <w:r w:rsidRPr="00F144ED">
        <w:rPr>
          <w:rStyle w:val="normaltextrun"/>
          <w:b/>
          <w:bCs/>
          <w:sz w:val="40"/>
          <w:szCs w:val="40"/>
          <w:lang w:val="en-US"/>
        </w:rPr>
        <w:t xml:space="preserve">in </w:t>
      </w:r>
      <w:r w:rsidRPr="00F144ED">
        <w:rPr>
          <w:rStyle w:val="normaltextrun"/>
          <w:b/>
          <w:bCs/>
          <w:i/>
          <w:iCs/>
          <w:sz w:val="40"/>
          <w:szCs w:val="40"/>
          <w:lang w:val="en-US"/>
        </w:rPr>
        <w:t xml:space="preserve">Brassica nigra </w:t>
      </w:r>
      <w:r w:rsidRPr="00F144ED">
        <w:rPr>
          <w:rStyle w:val="normaltextrun"/>
          <w:b/>
          <w:bCs/>
          <w:sz w:val="40"/>
          <w:szCs w:val="40"/>
          <w:lang w:val="en-US"/>
        </w:rPr>
        <w:t xml:space="preserve">is mediated </w:t>
      </w:r>
    </w:p>
    <w:p w14:paraId="0F720CCE" w14:textId="77777777" w:rsidR="005409AD" w:rsidRPr="00F144ED" w:rsidRDefault="005409AD" w:rsidP="005409AD">
      <w:pPr>
        <w:pStyle w:val="paragraph"/>
        <w:spacing w:before="0" w:beforeAutospacing="0" w:after="0" w:afterAutospacing="0"/>
        <w:contextualSpacing/>
        <w:jc w:val="center"/>
        <w:textAlignment w:val="baseline"/>
        <w:rPr>
          <w:rStyle w:val="normaltextrun"/>
          <w:b/>
          <w:bCs/>
          <w:sz w:val="40"/>
          <w:szCs w:val="40"/>
          <w:lang w:val="en-US"/>
        </w:rPr>
      </w:pPr>
      <w:r w:rsidRPr="00F144ED">
        <w:rPr>
          <w:rStyle w:val="normaltextrun"/>
          <w:b/>
          <w:bCs/>
          <w:sz w:val="40"/>
          <w:szCs w:val="40"/>
          <w:lang w:val="en-US"/>
        </w:rPr>
        <w:t xml:space="preserve">by a single locus containing </w:t>
      </w:r>
    </w:p>
    <w:p w14:paraId="2562029F" w14:textId="77777777" w:rsidR="005409AD" w:rsidRPr="00F144ED" w:rsidRDefault="005409AD" w:rsidP="005409AD">
      <w:pPr>
        <w:pStyle w:val="paragraph"/>
        <w:spacing w:before="0" w:beforeAutospacing="0" w:after="0" w:afterAutospacing="0"/>
        <w:contextualSpacing/>
        <w:jc w:val="center"/>
        <w:textAlignment w:val="baseline"/>
        <w:rPr>
          <w:rStyle w:val="normaltextrun"/>
          <w:b/>
          <w:bCs/>
          <w:sz w:val="40"/>
          <w:szCs w:val="40"/>
          <w:lang w:val="en-US"/>
        </w:rPr>
      </w:pPr>
      <w:r w:rsidRPr="00F144ED">
        <w:rPr>
          <w:rStyle w:val="normaltextrun"/>
          <w:b/>
          <w:bCs/>
          <w:sz w:val="40"/>
          <w:szCs w:val="40"/>
          <w:lang w:val="en-US"/>
        </w:rPr>
        <w:t>a cluster of TIR-NBS-LRR receptors</w:t>
      </w:r>
    </w:p>
    <w:bookmarkEnd w:id="0"/>
    <w:p w14:paraId="4D5425E1" w14:textId="303DFC96" w:rsidR="009C029C" w:rsidRDefault="009C029C" w:rsidP="009C029C">
      <w:pPr>
        <w:pStyle w:val="paragraph"/>
        <w:spacing w:before="0" w:beforeAutospacing="0" w:after="0" w:afterAutospacing="0"/>
        <w:contextualSpacing/>
        <w:jc w:val="center"/>
        <w:textAlignment w:val="baseline"/>
        <w:rPr>
          <w:rStyle w:val="normaltextrun"/>
          <w:b/>
          <w:bCs/>
          <w:i/>
          <w:iCs/>
          <w:sz w:val="40"/>
          <w:szCs w:val="40"/>
          <w:lang w:val="en-US"/>
        </w:rPr>
      </w:pPr>
    </w:p>
    <w:p w14:paraId="01A75672" w14:textId="77777777" w:rsidR="005409AD" w:rsidRPr="00F144ED" w:rsidRDefault="005409AD" w:rsidP="005409AD">
      <w:pPr>
        <w:pStyle w:val="Heading2"/>
        <w:spacing w:before="0" w:line="240" w:lineRule="auto"/>
        <w:rPr>
          <w:rFonts w:ascii="Times New Roman" w:eastAsia="Times New Roman" w:hAnsi="Times New Roman" w:cs="Times New Roman"/>
          <w:b/>
          <w:bCs/>
          <w:color w:val="auto"/>
          <w:sz w:val="32"/>
          <w:szCs w:val="32"/>
          <w:lang w:eastAsia="en-GB"/>
        </w:rPr>
      </w:pPr>
      <w:bookmarkStart w:id="1" w:name="_Toc106225237"/>
      <w:bookmarkStart w:id="2" w:name="_Toc106273365"/>
      <w:r w:rsidRPr="00F144ED">
        <w:rPr>
          <w:rFonts w:ascii="Times New Roman" w:eastAsia="Times New Roman" w:hAnsi="Times New Roman" w:cs="Times New Roman"/>
          <w:b/>
          <w:bCs/>
          <w:color w:val="auto"/>
          <w:sz w:val="32"/>
          <w:szCs w:val="32"/>
          <w:lang w:eastAsia="en-GB"/>
        </w:rPr>
        <w:t>Abstract</w:t>
      </w:r>
      <w:bookmarkEnd w:id="1"/>
      <w:bookmarkEnd w:id="2"/>
    </w:p>
    <w:p w14:paraId="0BAC0E29" w14:textId="77777777" w:rsidR="005409AD" w:rsidRPr="00F144ED" w:rsidRDefault="005409AD" w:rsidP="005409AD">
      <w:pPr>
        <w:spacing w:after="0" w:line="240" w:lineRule="auto"/>
        <w:ind w:firstLine="720"/>
        <w:contextualSpacing/>
        <w:jc w:val="both"/>
        <w:rPr>
          <w:rFonts w:ascii="Times New Roman" w:hAnsi="Times New Roman" w:cs="Times New Roman"/>
          <w:sz w:val="24"/>
          <w:szCs w:val="24"/>
        </w:rPr>
      </w:pPr>
    </w:p>
    <w:p w14:paraId="62A7FDF4" w14:textId="77777777" w:rsidR="005409AD" w:rsidRPr="00F144ED" w:rsidRDefault="005409AD" w:rsidP="005409AD">
      <w:pPr>
        <w:spacing w:after="0" w:line="240" w:lineRule="auto"/>
        <w:ind w:firstLine="720"/>
        <w:contextualSpacing/>
        <w:jc w:val="both"/>
      </w:pPr>
      <w:r w:rsidRPr="00F144ED">
        <w:rPr>
          <w:rFonts w:ascii="Times New Roman" w:hAnsi="Times New Roman" w:cs="Times New Roman"/>
          <w:sz w:val="24"/>
          <w:szCs w:val="24"/>
        </w:rPr>
        <w:t>The hypersensitive response (HR) characterizes monogenic qualitative resistance traits in several pathosystems. Its role in resistance to insects is relatively understudied and limited to a few resistance (</w:t>
      </w:r>
      <w:r w:rsidRPr="00F144ED">
        <w:rPr>
          <w:rFonts w:ascii="Times New Roman" w:hAnsi="Times New Roman" w:cs="Times New Roman"/>
          <w:i/>
          <w:iCs/>
          <w:sz w:val="24"/>
          <w:szCs w:val="24"/>
        </w:rPr>
        <w:t>R</w:t>
      </w:r>
      <w:r w:rsidRPr="00F144ED">
        <w:rPr>
          <w:rFonts w:ascii="Times New Roman" w:hAnsi="Times New Roman" w:cs="Times New Roman"/>
          <w:sz w:val="24"/>
          <w:szCs w:val="24"/>
        </w:rPr>
        <w:t xml:space="preserve">) gene-based defense responses against piercing-sucking insects. </w:t>
      </w:r>
      <w:r w:rsidRPr="00F144ED">
        <w:br/>
      </w:r>
      <w:r w:rsidRPr="00F144ED">
        <w:rPr>
          <w:rFonts w:ascii="Times New Roman" w:hAnsi="Times New Roman" w:cs="Times New Roman"/>
          <w:sz w:val="24"/>
          <w:szCs w:val="24"/>
        </w:rPr>
        <w:t>The hypersensitive response (HR)-like cell death induced by egg deposition of</w:t>
      </w:r>
      <w:r w:rsidRPr="00F144ED">
        <w:rPr>
          <w:rFonts w:ascii="Times New Roman" w:hAnsi="Times New Roman" w:cs="Times New Roman"/>
          <w:i/>
          <w:iCs/>
          <w:sz w:val="24"/>
          <w:szCs w:val="24"/>
        </w:rPr>
        <w:t xml:space="preserve"> </w:t>
      </w:r>
      <w:r w:rsidRPr="00F144ED">
        <w:rPr>
          <w:rFonts w:ascii="Times New Roman" w:hAnsi="Times New Roman" w:cs="Times New Roman"/>
          <w:sz w:val="24"/>
          <w:szCs w:val="24"/>
        </w:rPr>
        <w:t>cabbage white butterflies (</w:t>
      </w:r>
      <w:r w:rsidRPr="00F144ED">
        <w:rPr>
          <w:rFonts w:ascii="Times New Roman" w:hAnsi="Times New Roman" w:cs="Times New Roman"/>
          <w:i/>
          <w:iCs/>
          <w:sz w:val="24"/>
          <w:szCs w:val="24"/>
        </w:rPr>
        <w:t xml:space="preserve">Pieris </w:t>
      </w:r>
      <w:r w:rsidRPr="00F144ED">
        <w:rPr>
          <w:rFonts w:ascii="Times New Roman" w:hAnsi="Times New Roman" w:cs="Times New Roman"/>
          <w:sz w:val="24"/>
          <w:szCs w:val="24"/>
        </w:rPr>
        <w:t xml:space="preserve">spp.) in </w:t>
      </w:r>
      <w:r w:rsidRPr="00F144ED">
        <w:rPr>
          <w:rFonts w:ascii="Times New Roman" w:hAnsi="Times New Roman" w:cs="Times New Roman"/>
          <w:i/>
          <w:iCs/>
          <w:sz w:val="24"/>
          <w:szCs w:val="24"/>
        </w:rPr>
        <w:t xml:space="preserve">Brassica </w:t>
      </w:r>
      <w:r w:rsidRPr="00F144ED">
        <w:rPr>
          <w:rFonts w:ascii="Times New Roman" w:hAnsi="Times New Roman" w:cs="Times New Roman"/>
          <w:sz w:val="24"/>
          <w:szCs w:val="24"/>
        </w:rPr>
        <w:t xml:space="preserve">spp. reduces egg survival and represents an effective resistance trait before that feeding larvae emerges. However, its implementation as defence trait is conditional on the understanding of its genetic basis. In this study, we found that </w:t>
      </w:r>
      <w:r w:rsidRPr="00F144ED">
        <w:rPr>
          <w:rFonts w:ascii="Times New Roman" w:hAnsi="Times New Roman" w:cs="Times New Roman"/>
          <w:i/>
          <w:iCs/>
          <w:sz w:val="24"/>
          <w:szCs w:val="24"/>
        </w:rPr>
        <w:t>P. brassicae</w:t>
      </w:r>
      <w:r w:rsidRPr="00F144ED">
        <w:rPr>
          <w:rFonts w:ascii="Times New Roman" w:hAnsi="Times New Roman" w:cs="Times New Roman"/>
          <w:sz w:val="24"/>
          <w:szCs w:val="24"/>
        </w:rPr>
        <w:t xml:space="preserve"> egg-induced HR segregates as a Mendelian trait in wild accessions of black mustard </w:t>
      </w:r>
      <w:r w:rsidRPr="00F144ED">
        <w:rPr>
          <w:rFonts w:ascii="Times New Roman" w:hAnsi="Times New Roman" w:cs="Times New Roman"/>
          <w:i/>
          <w:iCs/>
          <w:sz w:val="24"/>
          <w:szCs w:val="24"/>
        </w:rPr>
        <w:t xml:space="preserve">B. nigra </w:t>
      </w:r>
      <w:r w:rsidRPr="00F144ED">
        <w:rPr>
          <w:rFonts w:ascii="Times New Roman" w:hAnsi="Times New Roman" w:cs="Times New Roman"/>
          <w:sz w:val="24"/>
          <w:szCs w:val="24"/>
        </w:rPr>
        <w:t xml:space="preserve">L. Through bulk-segregant analysis </w:t>
      </w:r>
      <w:r w:rsidRPr="00F144ED">
        <w:rPr>
          <w:rFonts w:ascii="Times New Roman" w:hAnsi="Times New Roman" w:cs="Times New Roman"/>
          <w:sz w:val="24"/>
          <w:szCs w:val="24"/>
          <w:lang w:val="en-GB"/>
        </w:rPr>
        <w:t xml:space="preserve">coupled with whole-genome </w:t>
      </w:r>
      <w:r w:rsidRPr="00F144ED">
        <w:rPr>
          <w:rFonts w:ascii="Times New Roman" w:hAnsi="Times New Roman" w:cs="Times New Roman"/>
          <w:sz w:val="24"/>
          <w:szCs w:val="24"/>
          <w:u w:val="single"/>
          <w:lang w:val="en-GB"/>
        </w:rPr>
        <w:t>s</w:t>
      </w:r>
      <w:r w:rsidRPr="00F144ED">
        <w:rPr>
          <w:rFonts w:ascii="Times New Roman" w:hAnsi="Times New Roman" w:cs="Times New Roman"/>
          <w:sz w:val="24"/>
          <w:szCs w:val="24"/>
          <w:lang w:val="en-GB"/>
        </w:rPr>
        <w:t>equencing (BSA-seq)</w:t>
      </w:r>
      <w:r w:rsidRPr="00F144ED">
        <w:rPr>
          <w:rFonts w:ascii="Times New Roman" w:hAnsi="Times New Roman" w:cs="Times New Roman"/>
          <w:sz w:val="24"/>
          <w:szCs w:val="24"/>
        </w:rPr>
        <w:t xml:space="preserve">, we identified a single dominant locus on chromosome B3 which we named </w:t>
      </w:r>
      <w:r w:rsidRPr="00F144ED">
        <w:rPr>
          <w:rFonts w:ascii="Times New Roman" w:hAnsi="Times New Roman" w:cs="Times New Roman"/>
          <w:i/>
          <w:iCs/>
          <w:sz w:val="24"/>
          <w:szCs w:val="24"/>
        </w:rPr>
        <w:t>PEK (</w:t>
      </w:r>
      <w:r w:rsidRPr="00F144ED">
        <w:rPr>
          <w:rFonts w:ascii="Times New Roman" w:hAnsi="Times New Roman" w:cs="Times New Roman"/>
          <w:i/>
          <w:iCs/>
          <w:sz w:val="24"/>
          <w:szCs w:val="24"/>
          <w:u w:val="single"/>
        </w:rPr>
        <w:t>P</w:t>
      </w:r>
      <w:r w:rsidRPr="00F144ED">
        <w:rPr>
          <w:rFonts w:ascii="Times New Roman" w:hAnsi="Times New Roman" w:cs="Times New Roman"/>
          <w:i/>
          <w:iCs/>
          <w:sz w:val="24"/>
          <w:szCs w:val="24"/>
        </w:rPr>
        <w:t xml:space="preserve">ieris </w:t>
      </w:r>
      <w:r w:rsidRPr="00F144ED">
        <w:rPr>
          <w:rFonts w:ascii="Times New Roman" w:hAnsi="Times New Roman" w:cs="Times New Roman"/>
          <w:sz w:val="24"/>
          <w:szCs w:val="24"/>
          <w:u w:val="single"/>
        </w:rPr>
        <w:t>e</w:t>
      </w:r>
      <w:r w:rsidRPr="00F144ED">
        <w:rPr>
          <w:rFonts w:ascii="Times New Roman" w:hAnsi="Times New Roman" w:cs="Times New Roman"/>
          <w:sz w:val="24"/>
          <w:szCs w:val="24"/>
        </w:rPr>
        <w:t>gg-</w:t>
      </w:r>
      <w:r w:rsidRPr="00F144ED">
        <w:rPr>
          <w:rFonts w:ascii="Times New Roman" w:hAnsi="Times New Roman" w:cs="Times New Roman"/>
          <w:sz w:val="24"/>
          <w:szCs w:val="24"/>
          <w:u w:val="single"/>
        </w:rPr>
        <w:t>k</w:t>
      </w:r>
      <w:r w:rsidRPr="00F144ED">
        <w:rPr>
          <w:rFonts w:ascii="Times New Roman" w:hAnsi="Times New Roman" w:cs="Times New Roman"/>
          <w:sz w:val="24"/>
          <w:szCs w:val="24"/>
        </w:rPr>
        <w:t xml:space="preserve">illing). Fine-mapping through recombinant analysis restricted the </w:t>
      </w:r>
      <w:r w:rsidRPr="00F144ED">
        <w:rPr>
          <w:rFonts w:ascii="Times New Roman" w:hAnsi="Times New Roman" w:cs="Times New Roman"/>
          <w:i/>
          <w:iCs/>
          <w:sz w:val="24"/>
          <w:szCs w:val="24"/>
        </w:rPr>
        <w:t xml:space="preserve">PEK </w:t>
      </w:r>
      <w:r w:rsidRPr="00F144ED">
        <w:rPr>
          <w:rFonts w:ascii="Times New Roman" w:hAnsi="Times New Roman" w:cs="Times New Roman"/>
          <w:sz w:val="24"/>
          <w:szCs w:val="24"/>
        </w:rPr>
        <w:t>locus to a ~50 kb region that contains several tandemly duplicated genes, including a cluster of potential candidate resistance TIR-NBS-LRR (TNL) receptor proteins. We found that</w:t>
      </w:r>
      <w:r w:rsidRPr="00F144ED">
        <w:rPr>
          <w:rFonts w:ascii="Times New Roman" w:hAnsi="Times New Roman" w:cs="Times New Roman"/>
          <w:i/>
          <w:iCs/>
          <w:sz w:val="24"/>
          <w:szCs w:val="24"/>
        </w:rPr>
        <w:t xml:space="preserve"> PEK </w:t>
      </w:r>
      <w:r w:rsidRPr="00F144ED">
        <w:rPr>
          <w:rFonts w:ascii="Times New Roman" w:hAnsi="Times New Roman" w:cs="Times New Roman"/>
          <w:sz w:val="24"/>
          <w:szCs w:val="24"/>
        </w:rPr>
        <w:t xml:space="preserve">is polymorphic between the parental accessions of our crossing scheme and shows copy number variants (CNVs) of TNL genes among </w:t>
      </w:r>
      <w:r w:rsidRPr="00F144ED">
        <w:rPr>
          <w:rFonts w:ascii="Times New Roman" w:hAnsi="Times New Roman" w:cs="Times New Roman"/>
          <w:i/>
          <w:iCs/>
          <w:sz w:val="24"/>
          <w:szCs w:val="24"/>
        </w:rPr>
        <w:t xml:space="preserve">B. nigra </w:t>
      </w:r>
      <w:r w:rsidRPr="00F144ED">
        <w:rPr>
          <w:rFonts w:ascii="Times New Roman" w:hAnsi="Times New Roman" w:cs="Times New Roman"/>
          <w:sz w:val="24"/>
          <w:szCs w:val="24"/>
        </w:rPr>
        <w:t xml:space="preserve">reference genomes. These results highlight the need for a complete </w:t>
      </w:r>
      <w:r w:rsidRPr="00F144ED">
        <w:rPr>
          <w:rFonts w:ascii="Times New Roman" w:hAnsi="Times New Roman" w:cs="Times New Roman"/>
          <w:i/>
          <w:iCs/>
          <w:sz w:val="24"/>
          <w:szCs w:val="24"/>
        </w:rPr>
        <w:t>de novo</w:t>
      </w:r>
      <w:r w:rsidRPr="00F144ED">
        <w:rPr>
          <w:rFonts w:ascii="Times New Roman" w:hAnsi="Times New Roman" w:cs="Times New Roman"/>
          <w:sz w:val="24"/>
          <w:szCs w:val="24"/>
        </w:rPr>
        <w:t xml:space="preserve"> assembly of the </w:t>
      </w:r>
      <w:r w:rsidRPr="00F144ED">
        <w:rPr>
          <w:rFonts w:ascii="Times New Roman" w:hAnsi="Times New Roman" w:cs="Times New Roman"/>
          <w:i/>
          <w:iCs/>
          <w:sz w:val="24"/>
          <w:szCs w:val="24"/>
        </w:rPr>
        <w:t xml:space="preserve">PEK </w:t>
      </w:r>
      <w:r w:rsidRPr="00F144ED">
        <w:rPr>
          <w:rFonts w:ascii="Times New Roman" w:hAnsi="Times New Roman" w:cs="Times New Roman"/>
          <w:sz w:val="24"/>
          <w:szCs w:val="24"/>
        </w:rPr>
        <w:t xml:space="preserve">locus from our parental accessions to precisely fine map the causal locus and/or polymorphism. Further </w:t>
      </w:r>
      <w:proofErr w:type="gramStart"/>
      <w:r w:rsidRPr="00F144ED">
        <w:rPr>
          <w:rFonts w:ascii="Times New Roman" w:hAnsi="Times New Roman" w:cs="Times New Roman"/>
          <w:sz w:val="24"/>
          <w:szCs w:val="24"/>
        </w:rPr>
        <w:t>fine-mapping</w:t>
      </w:r>
      <w:proofErr w:type="gramEnd"/>
      <w:r w:rsidRPr="00F144ED">
        <w:rPr>
          <w:rFonts w:ascii="Times New Roman" w:hAnsi="Times New Roman" w:cs="Times New Roman"/>
          <w:sz w:val="24"/>
          <w:szCs w:val="24"/>
        </w:rPr>
        <w:t xml:space="preserve"> of the </w:t>
      </w:r>
      <w:r w:rsidRPr="00F144ED">
        <w:rPr>
          <w:rFonts w:ascii="Times New Roman" w:hAnsi="Times New Roman" w:cs="Times New Roman"/>
          <w:i/>
          <w:iCs/>
          <w:sz w:val="24"/>
          <w:szCs w:val="24"/>
        </w:rPr>
        <w:t>PEK</w:t>
      </w:r>
      <w:r w:rsidRPr="00F144ED">
        <w:rPr>
          <w:rFonts w:ascii="Times New Roman" w:hAnsi="Times New Roman" w:cs="Times New Roman"/>
          <w:sz w:val="24"/>
          <w:szCs w:val="24"/>
        </w:rPr>
        <w:t xml:space="preserve"> locus will reveal whether the TNLs are responsible for the HR phenotype, while studying the diversity of the locus among Brassicaceae will shed light on the evolutionary basis of HR. </w:t>
      </w:r>
    </w:p>
    <w:p w14:paraId="61C674C9" w14:textId="77777777" w:rsidR="005409AD" w:rsidRPr="00F144ED" w:rsidRDefault="005409AD" w:rsidP="005409AD">
      <w:pPr>
        <w:spacing w:after="0" w:line="240" w:lineRule="auto"/>
        <w:ind w:firstLine="720"/>
        <w:contextualSpacing/>
        <w:jc w:val="both"/>
        <w:rPr>
          <w:rFonts w:ascii="Times New Roman" w:hAnsi="Times New Roman" w:cs="Times New Roman"/>
          <w:sz w:val="24"/>
          <w:szCs w:val="24"/>
        </w:rPr>
      </w:pPr>
    </w:p>
    <w:p w14:paraId="157B1DD6" w14:textId="77777777" w:rsidR="005409AD" w:rsidRPr="00F144ED" w:rsidRDefault="005409AD" w:rsidP="005409AD">
      <w:pPr>
        <w:spacing w:after="0" w:line="240" w:lineRule="auto"/>
        <w:ind w:firstLine="720"/>
        <w:contextualSpacing/>
        <w:jc w:val="both"/>
        <w:rPr>
          <w:rFonts w:ascii="Times New Roman" w:hAnsi="Times New Roman" w:cs="Times New Roman"/>
          <w:sz w:val="24"/>
          <w:szCs w:val="24"/>
        </w:rPr>
      </w:pPr>
    </w:p>
    <w:p w14:paraId="2F3453EA" w14:textId="77777777" w:rsidR="005409AD" w:rsidRPr="00F144ED" w:rsidRDefault="005409AD" w:rsidP="005409AD">
      <w:pPr>
        <w:pStyle w:val="BodyPhD"/>
        <w:spacing w:before="0" w:beforeAutospacing="0" w:after="0" w:afterAutospacing="0"/>
        <w:rPr>
          <w:b/>
          <w:bCs/>
        </w:rPr>
      </w:pPr>
      <w:bookmarkStart w:id="3" w:name="_Toc106222604"/>
      <w:bookmarkStart w:id="4" w:name="_Toc106225238"/>
      <w:bookmarkStart w:id="5" w:name="_Toc106273366"/>
      <w:r w:rsidRPr="00F144ED">
        <w:rPr>
          <w:b/>
          <w:bCs/>
        </w:rPr>
        <w:t>Keywords</w:t>
      </w:r>
      <w:bookmarkEnd w:id="3"/>
      <w:bookmarkEnd w:id="4"/>
      <w:bookmarkEnd w:id="5"/>
    </w:p>
    <w:p w14:paraId="550FC3C8" w14:textId="78CD2E1D" w:rsidR="009C029C" w:rsidRPr="009C029C" w:rsidRDefault="005409AD" w:rsidP="005409AD">
      <w:pPr>
        <w:spacing w:after="0" w:line="240" w:lineRule="auto"/>
        <w:contextualSpacing/>
      </w:pPr>
      <w:r w:rsidRPr="00F144ED">
        <w:rPr>
          <w:rFonts w:ascii="Times New Roman" w:hAnsi="Times New Roman" w:cs="Times New Roman"/>
          <w:sz w:val="24"/>
          <w:szCs w:val="24"/>
        </w:rPr>
        <w:t xml:space="preserve">Crop wild relatives (CWR), </w:t>
      </w:r>
      <w:r w:rsidRPr="00F144ED">
        <w:rPr>
          <w:rFonts w:ascii="Times New Roman" w:hAnsi="Times New Roman" w:cs="Times New Roman"/>
          <w:i/>
          <w:iCs/>
          <w:sz w:val="24"/>
          <w:szCs w:val="24"/>
        </w:rPr>
        <w:t xml:space="preserve">Brassica </w:t>
      </w:r>
      <w:r w:rsidRPr="00F144ED">
        <w:rPr>
          <w:rFonts w:ascii="Times New Roman" w:hAnsi="Times New Roman" w:cs="Times New Roman"/>
          <w:sz w:val="24"/>
          <w:szCs w:val="24"/>
        </w:rPr>
        <w:t xml:space="preserve">crops, cabbage white butterfly, plant-insect interaction, Bulk Segregant Analysis, </w:t>
      </w:r>
      <w:r w:rsidRPr="00F144ED">
        <w:rPr>
          <w:rFonts w:ascii="Times New Roman" w:hAnsi="Times New Roman" w:cs="Times New Roman"/>
          <w:i/>
          <w:iCs/>
          <w:sz w:val="24"/>
          <w:szCs w:val="24"/>
        </w:rPr>
        <w:t>k</w:t>
      </w:r>
      <w:r w:rsidRPr="00F144ED">
        <w:rPr>
          <w:rFonts w:ascii="Times New Roman" w:hAnsi="Times New Roman" w:cs="Times New Roman"/>
          <w:sz w:val="24"/>
          <w:szCs w:val="24"/>
        </w:rPr>
        <w:t>-mers, nucleotide-binding leucin rich-repeat (NLR)</w:t>
      </w:r>
    </w:p>
    <w:sectPr w:rsidR="009C029C" w:rsidRPr="009C02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FD5"/>
    <w:rsid w:val="000633A7"/>
    <w:rsid w:val="000B0949"/>
    <w:rsid w:val="00406FD5"/>
    <w:rsid w:val="005409AD"/>
    <w:rsid w:val="009C029C"/>
    <w:rsid w:val="00A227FA"/>
    <w:rsid w:val="00C42EEA"/>
    <w:rsid w:val="00DD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5F78E"/>
  <w15:chartTrackingRefBased/>
  <w15:docId w15:val="{AF4A12AF-7486-4259-BFF1-494644614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9C"/>
  </w:style>
  <w:style w:type="paragraph" w:styleId="Heading2">
    <w:name w:val="heading 2"/>
    <w:basedOn w:val="Normal"/>
    <w:next w:val="Normal"/>
    <w:link w:val="Heading2Char"/>
    <w:uiPriority w:val="9"/>
    <w:unhideWhenUsed/>
    <w:qFormat/>
    <w:rsid w:val="00A227FA"/>
    <w:pPr>
      <w:keepNext/>
      <w:keepLines/>
      <w:spacing w:before="40" w:after="0" w:line="302" w:lineRule="auto"/>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rsid w:val="009C029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9C029C"/>
  </w:style>
  <w:style w:type="character" w:customStyle="1" w:styleId="paragraphChar">
    <w:name w:val="paragraph Char"/>
    <w:basedOn w:val="DefaultParagraphFont"/>
    <w:link w:val="paragraph"/>
    <w:rsid w:val="009C029C"/>
    <w:rPr>
      <w:rFonts w:ascii="Times New Roman" w:eastAsia="Times New Roman" w:hAnsi="Times New Roman" w:cs="Times New Roman"/>
      <w:sz w:val="24"/>
      <w:szCs w:val="24"/>
      <w:lang w:val="en-GB" w:eastAsia="en-GB"/>
    </w:rPr>
  </w:style>
  <w:style w:type="character" w:customStyle="1" w:styleId="Heading2Char">
    <w:name w:val="Heading 2 Char"/>
    <w:basedOn w:val="DefaultParagraphFont"/>
    <w:link w:val="Heading2"/>
    <w:uiPriority w:val="9"/>
    <w:rsid w:val="00A227FA"/>
    <w:rPr>
      <w:rFonts w:asciiTheme="majorHAnsi" w:eastAsiaTheme="majorEastAsia" w:hAnsiTheme="majorHAnsi" w:cstheme="majorBidi"/>
      <w:color w:val="2F5496" w:themeColor="accent1" w:themeShade="BF"/>
      <w:sz w:val="26"/>
      <w:szCs w:val="26"/>
      <w:lang w:val="en-GB"/>
    </w:rPr>
  </w:style>
  <w:style w:type="paragraph" w:customStyle="1" w:styleId="BodyPhD">
    <w:name w:val="Body_PhD"/>
    <w:basedOn w:val="Normal"/>
    <w:link w:val="BodyPhDChar"/>
    <w:qFormat/>
    <w:rsid w:val="00A227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dyPhDChar">
    <w:name w:val="Body_PhD Char"/>
    <w:basedOn w:val="DefaultParagraphFont"/>
    <w:link w:val="BodyPhD"/>
    <w:rsid w:val="00A227FA"/>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Bassetti, Niccolo</dc:creator>
  <cp:keywords/>
  <dc:description/>
  <cp:lastModifiedBy>Bassetti, Niccolo</cp:lastModifiedBy>
  <cp:revision>5</cp:revision>
  <dcterms:created xsi:type="dcterms:W3CDTF">2023-02-24T15:50:00Z</dcterms:created>
  <dcterms:modified xsi:type="dcterms:W3CDTF">2023-02-24T15:55:00Z</dcterms:modified>
</cp:coreProperties>
</file>