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leftChars="0" w:firstLine="360" w:firstLineChars="200"/>
        <w:jc w:val="center"/>
        <w:rPr>
          <w:rFonts w:hint="default" w:ascii="Times New Roman Regular" w:hAnsi="Times New Roman Regular" w:cs="Times New Roman Regular" w:eastAsiaTheme="minorEastAsia"/>
          <w:b/>
          <w:bCs/>
          <w:i w:val="0"/>
          <w:color w:val="auto"/>
          <w:kern w:val="0"/>
          <w:sz w:val="18"/>
          <w:szCs w:val="18"/>
          <w:highlight w:val="none"/>
          <w:lang w:val="en-US" w:eastAsia="zh-CN" w:bidi="ar"/>
        </w:rPr>
      </w:pPr>
      <w:r>
        <w:rPr>
          <w:rFonts w:hint="default" w:ascii="Times New Roman Bold" w:hAnsi="Times New Roman Bold" w:cs="Times New Roman Bold" w:eastAsiaTheme="minorEastAsia"/>
          <w:b/>
          <w:bCs/>
          <w:i w:val="0"/>
          <w:color w:val="auto"/>
          <w:kern w:val="0"/>
          <w:sz w:val="18"/>
          <w:szCs w:val="18"/>
          <w:highlight w:val="none"/>
          <w:lang w:val="en-US" w:eastAsia="zh-CN" w:bidi="ar"/>
        </w:rPr>
        <w:t>Table 1  Serum ALT and AST levels of mice in each group（</w:t>
      </w:r>
      <m:oMath>
        <m:acc>
          <m:accPr>
            <m:chr m:val="̅"/>
            <m:ctrlPr>
              <w:rPr>
                <w:rFonts w:hint="default" w:ascii="DejaVu Math TeX Gyre" w:hAnsi="DejaVu Math TeX Gyre" w:cs="Times New Roman Bold" w:eastAsiaTheme="minorEastAsia"/>
                <w:b/>
                <w:bCs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m:ctrlPr>
          </m:accPr>
          <m:e>
            <m:r>
              <m:rPr>
                <m:sty m:val="b"/>
              </m:rPr>
              <w:rPr>
                <w:rFonts w:hint="default" w:ascii="DejaVu Math TeX Gyre" w:hAnsi="DejaVu Math TeX Gyre" w:cs="Times New Roman Bold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m:t>x</m:t>
            </m:r>
            <m:ctrlPr>
              <w:rPr>
                <w:rFonts w:hint="default" w:ascii="DejaVu Math TeX Gyre" w:hAnsi="DejaVu Math TeX Gyre" w:cs="Times New Roman Bold" w:eastAsiaTheme="minorEastAsia"/>
                <w:b/>
                <w:bCs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m:ctrlPr>
          </m:e>
        </m:acc>
      </m:oMath>
      <w:r>
        <w:rPr>
          <w:rFonts w:hint="default" w:ascii="Times New Roman Bold" w:hAnsi="Times New Roman Bold" w:cs="Times New Roman Bold" w:eastAsiaTheme="minorEastAsia"/>
          <w:b/>
          <w:bCs/>
          <w:i w:val="0"/>
          <w:color w:val="auto"/>
          <w:kern w:val="0"/>
          <w:sz w:val="18"/>
          <w:szCs w:val="18"/>
          <w:highlight w:val="none"/>
          <w:lang w:val="en-US" w:eastAsia="zh-CN" w:bidi="ar"/>
        </w:rPr>
        <w:t>±s，n＝15）</w:t>
      </w:r>
    </w:p>
    <w:tbl>
      <w:tblPr>
        <w:tblStyle w:val="3"/>
        <w:tblW w:w="69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7"/>
        <w:gridCol w:w="2269"/>
        <w:gridCol w:w="2557"/>
      </w:tblGrid>
      <w:tr>
        <w:trPr>
          <w:trHeight w:val="285" w:hRule="atLeast"/>
          <w:jc w:val="center"/>
        </w:trPr>
        <w:tc>
          <w:tcPr>
            <w:tcW w:w="207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Bold" w:hAnsi="Times New Roman Bold" w:cs="Times New Roman Bold" w:eastAsiaTheme="minorEastAsia"/>
                <w:b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 Bold" w:hAnsi="Times New Roman Bold" w:cs="Times New Roman Bold"/>
                <w:b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Group</w:t>
            </w:r>
          </w:p>
        </w:tc>
        <w:tc>
          <w:tcPr>
            <w:tcW w:w="226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Bold" w:hAnsi="Times New Roman Bold" w:cs="Times New Roman Bold"/>
                <w:b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 Bold" w:hAnsi="Times New Roman Bold" w:cs="Times New Roman Bold"/>
                <w:b/>
                <w:bCs w:val="0"/>
                <w:color w:val="auto"/>
                <w:sz w:val="18"/>
                <w:szCs w:val="18"/>
                <w:highlight w:val="none"/>
              </w:rPr>
              <w:t>ALT(U/T)</w:t>
            </w:r>
          </w:p>
        </w:tc>
        <w:tc>
          <w:tcPr>
            <w:tcW w:w="255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Bold" w:hAnsi="Times New Roman Bold" w:cs="Times New Roman Bold"/>
                <w:b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 Bold" w:hAnsi="Times New Roman Bold" w:cs="Times New Roman Bold"/>
                <w:b/>
                <w:bCs w:val="0"/>
                <w:color w:val="auto"/>
                <w:sz w:val="18"/>
                <w:szCs w:val="18"/>
                <w:highlight w:val="none"/>
              </w:rPr>
              <w:t>AST(U/T)</w:t>
            </w:r>
          </w:p>
        </w:tc>
      </w:tr>
      <w:tr>
        <w:trPr>
          <w:trHeight w:val="270" w:hRule="atLeast"/>
          <w:jc w:val="center"/>
        </w:trPr>
        <w:tc>
          <w:tcPr>
            <w:tcW w:w="2077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Regular" w:hAnsi="Times New Roman Regular" w:cs="Times New Roman Regular" w:eastAsiaTheme="minorEastAsia"/>
                <w:b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color w:val="auto"/>
                <w:sz w:val="18"/>
                <w:szCs w:val="18"/>
                <w:highlight w:val="none"/>
                <w:lang w:val="en-US" w:eastAsia="zh-CN"/>
              </w:rPr>
              <w:t>sham</w:t>
            </w:r>
          </w:p>
        </w:tc>
        <w:tc>
          <w:tcPr>
            <w:tcW w:w="2269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Regular" w:hAnsi="Times New Roman Regular" w:cs="Times New Roman Regular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color w:val="auto"/>
                <w:sz w:val="18"/>
                <w:szCs w:val="18"/>
                <w:highlight w:val="none"/>
              </w:rPr>
              <w:t>57.49±0.22</w:t>
            </w:r>
          </w:p>
        </w:tc>
        <w:tc>
          <w:tcPr>
            <w:tcW w:w="2557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Regular" w:hAnsi="Times New Roman Regular" w:cs="Times New Roman Regular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color w:val="auto"/>
                <w:sz w:val="18"/>
                <w:szCs w:val="18"/>
                <w:highlight w:val="none"/>
              </w:rPr>
              <w:t>143.99±0.22</w:t>
            </w:r>
          </w:p>
        </w:tc>
      </w:tr>
      <w:tr>
        <w:trPr>
          <w:trHeight w:val="270" w:hRule="atLeast"/>
          <w:jc w:val="center"/>
        </w:trPr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Regular" w:hAnsi="Times New Roman Regular" w:cs="Times New Roman Regular" w:eastAsiaTheme="minorEastAsia"/>
                <w:b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color w:val="auto"/>
                <w:sz w:val="18"/>
                <w:szCs w:val="18"/>
                <w:highlight w:val="none"/>
                <w:lang w:val="en-US" w:eastAsia="zh-CN"/>
              </w:rPr>
              <w:t>model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Regular" w:hAnsi="Times New Roman Regular" w:cs="Times New Roman Regular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color w:val="auto"/>
                <w:sz w:val="18"/>
                <w:szCs w:val="18"/>
                <w:highlight w:val="none"/>
              </w:rPr>
              <w:t>166.5±0.12</w:t>
            </w:r>
            <w:r>
              <w:rPr>
                <w:rFonts w:hint="default" w:ascii="Times New Roman Regular" w:hAnsi="Times New Roman Regular" w:cs="Times New Roman Regular"/>
                <w:b w:val="0"/>
                <w:color w:val="auto"/>
                <w:sz w:val="18"/>
                <w:szCs w:val="18"/>
                <w:highlight w:val="none"/>
                <w:vertAlign w:val="superscript"/>
              </w:rPr>
              <w:t>a</w:t>
            </w:r>
          </w:p>
        </w:tc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Regular" w:hAnsi="Times New Roman Regular" w:cs="Times New Roman Regular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color w:val="auto"/>
                <w:sz w:val="18"/>
                <w:szCs w:val="18"/>
                <w:highlight w:val="none"/>
              </w:rPr>
              <w:t>329.69±0.24</w:t>
            </w:r>
            <w:r>
              <w:rPr>
                <w:rFonts w:hint="default" w:ascii="Times New Roman Regular" w:hAnsi="Times New Roman Regular" w:cs="Times New Roman Regular"/>
                <w:b w:val="0"/>
                <w:color w:val="auto"/>
                <w:sz w:val="18"/>
                <w:szCs w:val="18"/>
                <w:highlight w:val="none"/>
                <w:vertAlign w:val="superscript"/>
              </w:rPr>
              <w:t>a</w:t>
            </w:r>
          </w:p>
        </w:tc>
      </w:tr>
      <w:tr>
        <w:trPr>
          <w:trHeight w:val="285" w:hRule="atLeast"/>
          <w:jc w:val="center"/>
        </w:trPr>
        <w:tc>
          <w:tcPr>
            <w:tcW w:w="20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Regular" w:hAnsi="Times New Roman Regular" w:cs="Times New Roman Regular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color w:val="auto"/>
                <w:sz w:val="18"/>
                <w:szCs w:val="18"/>
                <w:highlight w:val="none"/>
              </w:rPr>
              <w:t>inhibitor</w:t>
            </w:r>
          </w:p>
        </w:tc>
        <w:tc>
          <w:tcPr>
            <w:tcW w:w="22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Regular" w:hAnsi="Times New Roman Regular" w:cs="Times New Roman Regular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color w:val="auto"/>
                <w:sz w:val="18"/>
                <w:szCs w:val="18"/>
                <w:highlight w:val="none"/>
              </w:rPr>
              <w:t>181.49±0.24</w:t>
            </w:r>
            <w:r>
              <w:rPr>
                <w:rFonts w:hint="default" w:ascii="Times New Roman Regular" w:hAnsi="Times New Roman Regular" w:cs="Times New Roman Regular"/>
                <w:b w:val="0"/>
                <w:color w:val="auto"/>
                <w:sz w:val="18"/>
                <w:szCs w:val="18"/>
                <w:highlight w:val="none"/>
                <w:vertAlign w:val="superscript"/>
              </w:rPr>
              <w:t>abc</w:t>
            </w:r>
          </w:p>
        </w:tc>
        <w:tc>
          <w:tcPr>
            <w:tcW w:w="25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Regular" w:hAnsi="Times New Roman Regular" w:cs="Times New Roman Regular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color w:val="auto"/>
                <w:sz w:val="18"/>
                <w:szCs w:val="18"/>
                <w:highlight w:val="none"/>
              </w:rPr>
              <w:t>341.68±0.22</w:t>
            </w:r>
            <w:r>
              <w:rPr>
                <w:rFonts w:hint="default" w:ascii="Times New Roman Regular" w:hAnsi="Times New Roman Regular" w:cs="Times New Roman Regular"/>
                <w:b w:val="0"/>
                <w:color w:val="auto"/>
                <w:sz w:val="18"/>
                <w:szCs w:val="18"/>
                <w:highlight w:val="none"/>
                <w:vertAlign w:val="superscript"/>
              </w:rPr>
              <w:t>abc</w:t>
            </w:r>
          </w:p>
        </w:tc>
      </w:tr>
      <w:tr>
        <w:trPr>
          <w:trHeight w:val="285" w:hRule="atLeast"/>
          <w:jc w:val="center"/>
        </w:trPr>
        <w:tc>
          <w:tcPr>
            <w:tcW w:w="207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Regular" w:hAnsi="Times New Roman Regular" w:cs="Times New Roman Regular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color w:val="auto"/>
                <w:sz w:val="18"/>
                <w:szCs w:val="18"/>
                <w:highlight w:val="none"/>
              </w:rPr>
              <w:t>mimic</w:t>
            </w:r>
          </w:p>
        </w:tc>
        <w:tc>
          <w:tcPr>
            <w:tcW w:w="226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Regular" w:hAnsi="Times New Roman Regular" w:cs="Times New Roman Regular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color w:val="auto"/>
                <w:sz w:val="18"/>
                <w:szCs w:val="18"/>
                <w:highlight w:val="none"/>
              </w:rPr>
              <w:t>82.88±0.22</w:t>
            </w:r>
            <w:r>
              <w:rPr>
                <w:rFonts w:hint="default" w:ascii="Times New Roman Regular" w:hAnsi="Times New Roman Regular" w:cs="Times New Roman Regular"/>
                <w:b w:val="0"/>
                <w:color w:val="auto"/>
                <w:sz w:val="18"/>
                <w:szCs w:val="18"/>
                <w:highlight w:val="none"/>
                <w:vertAlign w:val="superscript"/>
              </w:rPr>
              <w:t>abd</w:t>
            </w:r>
          </w:p>
        </w:tc>
        <w:tc>
          <w:tcPr>
            <w:tcW w:w="255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Regular" w:hAnsi="Times New Roman Regular" w:cs="Times New Roman Regular"/>
                <w:b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b w:val="0"/>
                <w:color w:val="auto"/>
                <w:sz w:val="18"/>
                <w:szCs w:val="18"/>
                <w:highlight w:val="none"/>
              </w:rPr>
              <w:t>199.17±0.22</w:t>
            </w:r>
            <w:r>
              <w:rPr>
                <w:rFonts w:hint="default" w:ascii="Times New Roman Regular" w:hAnsi="Times New Roman Regular" w:cs="Times New Roman Regular"/>
                <w:b w:val="0"/>
                <w:color w:val="auto"/>
                <w:sz w:val="18"/>
                <w:szCs w:val="18"/>
                <w:highlight w:val="none"/>
                <w:vertAlign w:val="superscript"/>
              </w:rPr>
              <w:t>abd</w:t>
            </w:r>
          </w:p>
        </w:tc>
      </w:tr>
    </w:tbl>
    <w:p>
      <w:pPr>
        <w:numPr>
          <w:ilvl w:val="0"/>
          <w:numId w:val="0"/>
        </w:numPr>
        <w:ind w:leftChars="0" w:firstLine="360" w:firstLineChars="200"/>
        <w:jc w:val="center"/>
        <w:rPr>
          <w:rFonts w:hint="default" w:ascii="Times New Roman Regular" w:hAnsi="Times New Roman Regular" w:cs="Times New Roman Regular"/>
          <w:b w:val="0"/>
          <w:color w:val="auto"/>
          <w:sz w:val="18"/>
          <w:szCs w:val="18"/>
          <w:highlight w:val="none"/>
          <w:lang w:val="en-US" w:eastAsia="zh-CN"/>
        </w:rPr>
      </w:pPr>
      <w:r>
        <w:rPr>
          <w:rFonts w:hint="default" w:ascii="Times New Roman Regular" w:hAnsi="Times New Roman Regular" w:cs="Times New Roman Regular"/>
          <w:b w:val="0"/>
          <w:color w:val="auto"/>
          <w:sz w:val="18"/>
          <w:szCs w:val="18"/>
          <w:highlight w:val="none"/>
          <w:lang w:val="en-US" w:eastAsia="zh-CN"/>
        </w:rPr>
        <w:t xml:space="preserve">(Compared with sham, </w:t>
      </w:r>
      <w:r>
        <w:rPr>
          <w:rFonts w:hint="default" w:ascii="Times New Roman Regular" w:hAnsi="Times New Roman Regular" w:cs="Times New Roman Regular"/>
          <w:b w:val="0"/>
          <w:color w:val="auto"/>
          <w:sz w:val="18"/>
          <w:szCs w:val="18"/>
          <w:highlight w:val="none"/>
          <w:vertAlign w:val="superscript"/>
          <w:lang w:val="en-US" w:eastAsia="zh-CN"/>
        </w:rPr>
        <w:t>a</w:t>
      </w:r>
      <w:r>
        <w:rPr>
          <w:rFonts w:hint="default" w:ascii="Times New Roman Regular" w:hAnsi="Times New Roman Regular" w:cs="Times New Roman Regular"/>
          <w:b w:val="0"/>
          <w:color w:val="auto"/>
          <w:sz w:val="18"/>
          <w:szCs w:val="18"/>
          <w:highlight w:val="none"/>
          <w:lang w:val="en-US" w:eastAsia="zh-CN"/>
        </w:rPr>
        <w:t xml:space="preserve">P&lt;0.001; compared with model, </w:t>
      </w:r>
      <w:r>
        <w:rPr>
          <w:rFonts w:hint="default" w:ascii="Times New Roman Regular" w:hAnsi="Times New Roman Regular" w:cs="Times New Roman Regular"/>
          <w:b w:val="0"/>
          <w:color w:val="auto"/>
          <w:sz w:val="18"/>
          <w:szCs w:val="18"/>
          <w:highlight w:val="none"/>
          <w:vertAlign w:val="superscript"/>
          <w:lang w:val="en-US" w:eastAsia="zh-CN"/>
        </w:rPr>
        <w:t>b</w:t>
      </w:r>
      <w:r>
        <w:rPr>
          <w:rFonts w:hint="default" w:ascii="Times New Roman Regular" w:hAnsi="Times New Roman Regular" w:cs="Times New Roman Regular"/>
          <w:b w:val="0"/>
          <w:color w:val="auto"/>
          <w:sz w:val="18"/>
          <w:szCs w:val="18"/>
          <w:highlight w:val="none"/>
          <w:lang w:val="en-US" w:eastAsia="zh-CN"/>
        </w:rPr>
        <w:t xml:space="preserve">P&lt;0.001; compared with mimic, </w:t>
      </w:r>
      <w:r>
        <w:rPr>
          <w:rFonts w:hint="default" w:ascii="Times New Roman Regular" w:hAnsi="Times New Roman Regular" w:cs="Times New Roman Regular"/>
          <w:b w:val="0"/>
          <w:color w:val="auto"/>
          <w:sz w:val="18"/>
          <w:szCs w:val="18"/>
          <w:highlight w:val="none"/>
          <w:vertAlign w:val="superscript"/>
          <w:lang w:val="en-US" w:eastAsia="zh-CN"/>
        </w:rPr>
        <w:t>c</w:t>
      </w:r>
      <w:r>
        <w:rPr>
          <w:rFonts w:hint="default" w:ascii="Times New Roman Regular" w:hAnsi="Times New Roman Regular" w:cs="Times New Roman Regular"/>
          <w:b w:val="0"/>
          <w:color w:val="auto"/>
          <w:sz w:val="18"/>
          <w:szCs w:val="18"/>
          <w:highlight w:val="none"/>
          <w:lang w:val="en-US" w:eastAsia="zh-CN"/>
        </w:rPr>
        <w:t xml:space="preserve">P&lt;0.001; compared with inhibitor , </w:t>
      </w:r>
      <w:r>
        <w:rPr>
          <w:rFonts w:hint="default" w:ascii="Times New Roman Regular" w:hAnsi="Times New Roman Regular" w:cs="Times New Roman Regular"/>
          <w:b w:val="0"/>
          <w:color w:val="auto"/>
          <w:sz w:val="18"/>
          <w:szCs w:val="18"/>
          <w:highlight w:val="none"/>
          <w:vertAlign w:val="superscript"/>
          <w:lang w:val="en-US" w:eastAsia="zh-CN"/>
        </w:rPr>
        <w:t>d</w:t>
      </w:r>
      <w:r>
        <w:rPr>
          <w:rFonts w:hint="default" w:ascii="Times New Roman Regular" w:hAnsi="Times New Roman Regular" w:cs="Times New Roman Regular"/>
          <w:b w:val="0"/>
          <w:color w:val="auto"/>
          <w:sz w:val="18"/>
          <w:szCs w:val="18"/>
          <w:highlight w:val="none"/>
          <w:lang w:val="en-US" w:eastAsia="zh-CN"/>
        </w:rPr>
        <w:t>P&lt;0.001.)</w:t>
      </w:r>
    </w:p>
    <w:p>
      <w:pPr>
        <w:numPr>
          <w:ilvl w:val="0"/>
          <w:numId w:val="0"/>
        </w:numPr>
        <w:ind w:leftChars="0" w:firstLine="360" w:firstLineChars="200"/>
        <w:jc w:val="center"/>
        <w:rPr>
          <w:rFonts w:hint="eastAsia" w:ascii="Times New Roman Regular" w:hAnsi="Times New Roman Regular" w:cs="Times New Roman Regular"/>
          <w:b w:val="0"/>
          <w:color w:val="auto"/>
          <w:sz w:val="18"/>
          <w:szCs w:val="18"/>
          <w:highlight w:val="none"/>
          <w:lang w:val="en-US" w:eastAsia="zh-CN"/>
        </w:rPr>
      </w:pPr>
    </w:p>
    <w:tbl>
      <w:tblPr>
        <w:tblStyle w:val="4"/>
        <w:tblW w:w="0" w:type="auto"/>
        <w:tblInd w:w="10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9"/>
        <w:gridCol w:w="30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52" w:hRule="atLeast"/>
        </w:trPr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693420</wp:posOffset>
                  </wp:positionH>
                  <wp:positionV relativeFrom="paragraph">
                    <wp:posOffset>11430</wp:posOffset>
                  </wp:positionV>
                  <wp:extent cx="1938655" cy="1739265"/>
                  <wp:effectExtent l="0" t="0" r="17145" b="13970"/>
                  <wp:wrapTight wrapText="bothSides">
                    <wp:wrapPolygon>
                      <wp:start x="15565" y="946"/>
                      <wp:lineTo x="3113" y="2524"/>
                      <wp:lineTo x="1981" y="3154"/>
                      <wp:lineTo x="3113" y="5993"/>
                      <wp:lineTo x="1698" y="6940"/>
                      <wp:lineTo x="283" y="9148"/>
                      <wp:lineTo x="283" y="11356"/>
                      <wp:lineTo x="2830" y="16088"/>
                      <wp:lineTo x="2547" y="17665"/>
                      <wp:lineTo x="4528" y="20188"/>
                      <wp:lineTo x="11603" y="21135"/>
                      <wp:lineTo x="13301" y="21135"/>
                      <wp:lineTo x="16980" y="20819"/>
                      <wp:lineTo x="21225" y="18296"/>
                      <wp:lineTo x="21225" y="3785"/>
                      <wp:lineTo x="19527" y="1262"/>
                      <wp:lineTo x="17829" y="946"/>
                      <wp:lineTo x="15565" y="946"/>
                    </wp:wrapPolygon>
                  </wp:wrapTight>
                  <wp:docPr id="1" name="图片 1" descr="的副本 A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的副本 ALT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8655" cy="1739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color w:val="auto"/>
                <w:highlight w:val="none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color w:val="auto"/>
                <w:highlight w:val="none"/>
                <w:vertAlign w:val="baseline"/>
              </w:rPr>
            </w:pPr>
            <w:r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11430</wp:posOffset>
                  </wp:positionV>
                  <wp:extent cx="1895475" cy="1747520"/>
                  <wp:effectExtent l="0" t="0" r="9525" b="5080"/>
                  <wp:wrapTight wrapText="bothSides">
                    <wp:wrapPolygon>
                      <wp:start x="15630" y="942"/>
                      <wp:lineTo x="2894" y="2512"/>
                      <wp:lineTo x="1737" y="3453"/>
                      <wp:lineTo x="3184" y="5965"/>
                      <wp:lineTo x="1737" y="6907"/>
                      <wp:lineTo x="289" y="9105"/>
                      <wp:lineTo x="289" y="11302"/>
                      <wp:lineTo x="2894" y="16012"/>
                      <wp:lineTo x="2605" y="18837"/>
                      <wp:lineTo x="4631" y="20407"/>
                      <wp:lineTo x="11867" y="21349"/>
                      <wp:lineTo x="13315" y="21349"/>
                      <wp:lineTo x="17077" y="21035"/>
                      <wp:lineTo x="21419" y="18209"/>
                      <wp:lineTo x="21419" y="4081"/>
                      <wp:lineTo x="19393" y="942"/>
                      <wp:lineTo x="17946" y="942"/>
                      <wp:lineTo x="15630" y="942"/>
                    </wp:wrapPolygon>
                  </wp:wrapTight>
                  <wp:docPr id="2" name="图片 2" descr="的副本 A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的副本 AST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475" cy="1747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color w:val="auto"/>
                <w:highlight w:val="none"/>
                <w:vertAlign w:val="baseline"/>
              </w:rPr>
            </w:pPr>
            <w:r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</w:rPr>
              <w:t xml:space="preserve">Figure </w:t>
            </w:r>
            <w:r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</w:rPr>
              <w:t xml:space="preserve"> Serum ALT and AST levels of mice in each group ( *** </w:t>
            </w:r>
            <w:r>
              <w:rPr>
                <w:rFonts w:hint="default" w:ascii="Times New Roman Bold" w:hAnsi="Times New Roman Bold" w:cs="Times New Roman Bold"/>
                <w:b/>
                <w:bCs/>
                <w:i w:val="0"/>
                <w:iCs/>
                <w:color w:val="auto"/>
                <w:sz w:val="18"/>
                <w:szCs w:val="18"/>
                <w:highlight w:val="none"/>
              </w:rPr>
              <w:t>P&lt;0</w:t>
            </w:r>
            <w:r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</w:rPr>
              <w:t>.001)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Times New Roman Bold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BDD34A7"/>
    <w:rsid w:val="7FDBA351"/>
    <w:rsid w:val="DBDD3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2024-11-05T11:02:00Z</dcterms:created>
  <dc:creator>Aileen</dc:creator>
  <cp:lastModifiedBy>Aileen</cp:lastModifiedBy>
  <dcterms:modified xsi:type="dcterms:W3CDTF">2024-11-05T11:04:49Z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F648F7800A35DEC1C68A2967AD740A9E_41</vt:lpwstr>
  </property>
</Properties>
</file>