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471DA" w14:textId="77777777" w:rsidR="00460963" w:rsidRPr="00460963" w:rsidRDefault="00460963" w:rsidP="00460963">
      <w:pPr>
        <w:keepNext/>
        <w:keepLines/>
        <w:spacing w:before="240" w:after="0" w:line="360" w:lineRule="auto"/>
        <w:jc w:val="both"/>
        <w:outlineLvl w:val="0"/>
        <w:rPr>
          <w:rFonts w:ascii="Times New Roman" w:eastAsia="Yu Gothic Light" w:hAnsi="Times New Roman" w:cs="Times New Roman"/>
          <w:kern w:val="0"/>
          <w:sz w:val="32"/>
          <w:szCs w:val="32"/>
          <w14:ligatures w14:val="none"/>
        </w:rPr>
      </w:pPr>
      <w:r w:rsidRPr="00460963">
        <w:rPr>
          <w:rFonts w:ascii="Times New Roman" w:eastAsia="Yu Gothic Light" w:hAnsi="Times New Roman" w:cs="Times New Roman"/>
          <w:kern w:val="0"/>
          <w:sz w:val="32"/>
          <w:szCs w:val="32"/>
          <w14:ligatures w14:val="none"/>
        </w:rPr>
        <w:t>Supplementary Information</w:t>
      </w:r>
    </w:p>
    <w:p w14:paraId="2100975B" w14:textId="77777777" w:rsidR="00460963" w:rsidRPr="00460963" w:rsidRDefault="00460963" w:rsidP="00460963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460963">
        <w:rPr>
          <w:rFonts w:ascii="Times New Roman" w:eastAsia="Calibri" w:hAnsi="Times New Roman" w:cs="Times New Roman"/>
          <w:b/>
          <w:bCs/>
          <w:noProof/>
          <w:kern w:val="0"/>
          <w:lang w:val="en-US"/>
          <w14:ligatures w14:val="none"/>
        </w:rPr>
        <w:drawing>
          <wp:inline distT="0" distB="0" distL="0" distR="0" wp14:anchorId="08D9FACA" wp14:editId="2D76B9DA">
            <wp:extent cx="3189271" cy="4413250"/>
            <wp:effectExtent l="0" t="0" r="0" b="6350"/>
            <wp:docPr id="315801393" name="Picture 3" descr="A graph of a number of numbers and a number of objec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801393" name="Picture 3" descr="A graph of a number of numbers and a number of objects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93673" cy="4419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B4BC3" w14:textId="77777777" w:rsidR="00460963" w:rsidRPr="00460963" w:rsidRDefault="00460963" w:rsidP="00460963">
      <w:pPr>
        <w:spacing w:line="36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60963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Supplementary Figure I. </w:t>
      </w:r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Heatmap depicting regulation of detected enzymes involved in the synthesis of short chain fatty acids. Of particular interest in this figure is the regulation of </w:t>
      </w:r>
      <w:proofErr w:type="spellStart"/>
      <w:r w:rsidRPr="00460963">
        <w:rPr>
          <w:rFonts w:ascii="Times New Roman" w:eastAsia="Calibri" w:hAnsi="Times New Roman" w:cs="Times New Roman"/>
          <w:kern w:val="0"/>
          <w14:ligatures w14:val="none"/>
        </w:rPr>
        <w:t>Pta</w:t>
      </w:r>
      <w:proofErr w:type="spellEnd"/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 and Ack, as is mentioned in the body of the text. All trends have a significance of p &lt; 0.05, except those denoted with an asterisk. For the </w:t>
      </w:r>
      <w:proofErr w:type="spellStart"/>
      <w:r w:rsidRPr="00460963">
        <w:rPr>
          <w:rFonts w:ascii="Times New Roman" w:eastAsia="Calibri" w:hAnsi="Times New Roman" w:cs="Times New Roman"/>
          <w:kern w:val="0"/>
          <w14:ligatures w14:val="none"/>
        </w:rPr>
        <w:t>Mce</w:t>
      </w:r>
      <w:proofErr w:type="spellEnd"/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 genes, p = 0.061 and 0.140 respectively, for </w:t>
      </w:r>
      <w:proofErr w:type="spellStart"/>
      <w:r w:rsidRPr="00460963">
        <w:rPr>
          <w:rFonts w:ascii="Times New Roman" w:eastAsia="Calibri" w:hAnsi="Times New Roman" w:cs="Times New Roman"/>
          <w:kern w:val="0"/>
          <w14:ligatures w14:val="none"/>
        </w:rPr>
        <w:t>AccD</w:t>
      </w:r>
      <w:proofErr w:type="spellEnd"/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 p = 0.107 and for </w:t>
      </w:r>
      <w:proofErr w:type="spellStart"/>
      <w:r w:rsidRPr="00460963">
        <w:rPr>
          <w:rFonts w:ascii="Times New Roman" w:eastAsia="Calibri" w:hAnsi="Times New Roman" w:cs="Times New Roman"/>
          <w:kern w:val="0"/>
          <w14:ligatures w14:val="none"/>
        </w:rPr>
        <w:t>Acat</w:t>
      </w:r>
      <w:proofErr w:type="spellEnd"/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 p = 0.148. For all others, the exact significances and the corresponding protein number can be found in Supplementary File I, and the locus tags in Supplementary Table I.</w:t>
      </w:r>
    </w:p>
    <w:p w14:paraId="6256392D" w14:textId="77777777" w:rsidR="00460963" w:rsidRPr="00460963" w:rsidRDefault="00460963" w:rsidP="00460963">
      <w:pPr>
        <w:rPr>
          <w:rFonts w:ascii="Times New Roman" w:eastAsia="Calibri" w:hAnsi="Times New Roman" w:cs="Times New Roman"/>
          <w:kern w:val="0"/>
          <w14:ligatures w14:val="none"/>
        </w:rPr>
      </w:pPr>
      <w:r w:rsidRPr="00460963">
        <w:rPr>
          <w:rFonts w:ascii="Times New Roman" w:eastAsia="Calibri" w:hAnsi="Times New Roman" w:cs="Times New Roman"/>
          <w:kern w:val="0"/>
          <w14:ligatures w14:val="none"/>
        </w:rPr>
        <w:br w:type="page"/>
      </w:r>
    </w:p>
    <w:p w14:paraId="20DC5C2D" w14:textId="77777777" w:rsidR="00460963" w:rsidRPr="00460963" w:rsidRDefault="00460963" w:rsidP="00460963">
      <w:pPr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60963">
        <w:rPr>
          <w:rFonts w:ascii="Times New Roman" w:eastAsia="Calibri" w:hAnsi="Times New Roman" w:cs="Times New Roman"/>
          <w:noProof/>
          <w:kern w:val="0"/>
          <w:lang w:val="en-US"/>
          <w14:ligatures w14:val="none"/>
        </w:rPr>
        <w:lastRenderedPageBreak/>
        <w:drawing>
          <wp:inline distT="0" distB="0" distL="0" distR="0" wp14:anchorId="3EC4A8F3" wp14:editId="19925A6E">
            <wp:extent cx="5539101" cy="3311269"/>
            <wp:effectExtent l="0" t="0" r="5080" b="3810"/>
            <wp:docPr id="702014467" name="Picture 4" descr="A graph of a graph showing the amount of gas in the inl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014467" name="Picture 4" descr="A graph of a graph showing the amount of gas in the inle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39101" cy="3311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8E23F" w14:textId="77777777" w:rsidR="00460963" w:rsidRPr="00460963" w:rsidRDefault="00460963" w:rsidP="00460963">
      <w:pPr>
        <w:spacing w:line="36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60963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Supplementary Figure II. </w:t>
      </w:r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Biomass specific </w:t>
      </w:r>
      <w:proofErr w:type="spellStart"/>
      <w:r w:rsidRPr="00460963">
        <w:rPr>
          <w:rFonts w:ascii="Times New Roman" w:eastAsia="Calibri" w:hAnsi="Times New Roman" w:cs="Times New Roman"/>
          <w:kern w:val="0"/>
          <w14:ligatures w14:val="none"/>
        </w:rPr>
        <w:t>surose</w:t>
      </w:r>
      <w:proofErr w:type="spellEnd"/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 uptake rate (</w:t>
      </w:r>
      <w:proofErr w:type="spellStart"/>
      <w:r w:rsidRPr="00460963">
        <w:rPr>
          <w:rFonts w:ascii="Times New Roman" w:eastAsia="Calibri" w:hAnsi="Times New Roman" w:cs="Times New Roman"/>
          <w:kern w:val="0"/>
          <w14:ligatures w14:val="none"/>
        </w:rPr>
        <w:t>q</w:t>
      </w:r>
      <w:r w:rsidRPr="00460963">
        <w:rPr>
          <w:rFonts w:ascii="Times New Roman" w:eastAsia="Calibri" w:hAnsi="Times New Roman" w:cs="Times New Roman"/>
          <w:kern w:val="0"/>
          <w:vertAlign w:val="subscript"/>
          <w14:ligatures w14:val="none"/>
        </w:rPr>
        <w:t>s</w:t>
      </w:r>
      <w:proofErr w:type="spellEnd"/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) data of </w:t>
      </w:r>
      <w:r w:rsidRPr="00460963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C. thermarum </w:t>
      </w:r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chemostats. Raw data to obtain these values can be found in </w:t>
      </w:r>
      <w:r w:rsidRPr="00460963">
        <w:rPr>
          <w:rFonts w:ascii="Times New Roman" w:eastAsia="Calibri" w:hAnsi="Times New Roman" w:cs="Times New Roman"/>
          <w:b/>
          <w:bCs/>
          <w:kern w:val="0"/>
          <w14:ligatures w14:val="none"/>
        </w:rPr>
        <w:t>Supplementary Table I</w:t>
      </w:r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. All bioreactors were operated in biological duplicates and underlying analysis methods were replicated technically in addition. Error bars shown are the standard deviations over the entire sample set. The </w:t>
      </w:r>
      <w:proofErr w:type="spellStart"/>
      <w:r w:rsidRPr="00460963">
        <w:rPr>
          <w:rFonts w:ascii="Times New Roman" w:eastAsia="Calibri" w:hAnsi="Times New Roman" w:cs="Times New Roman"/>
          <w:kern w:val="0"/>
          <w14:ligatures w14:val="none"/>
        </w:rPr>
        <w:t>q</w:t>
      </w:r>
      <w:r w:rsidRPr="00460963">
        <w:rPr>
          <w:rFonts w:ascii="Times New Roman" w:eastAsia="Calibri" w:hAnsi="Times New Roman" w:cs="Times New Roman"/>
          <w:kern w:val="0"/>
          <w:vertAlign w:val="subscript"/>
          <w14:ligatures w14:val="none"/>
        </w:rPr>
        <w:t>s</w:t>
      </w:r>
      <w:proofErr w:type="spellEnd"/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 was calculated with formula’s below.</w:t>
      </w:r>
    </w:p>
    <w:p w14:paraId="759C51B1" w14:textId="77777777" w:rsidR="00460963" w:rsidRPr="00460963" w:rsidRDefault="00460963" w:rsidP="00460963">
      <w:pPr>
        <w:spacing w:line="360" w:lineRule="auto"/>
        <w:jc w:val="both"/>
        <w:rPr>
          <w:rFonts w:ascii="Times New Roman" w:eastAsia="Yu Mincho" w:hAnsi="Times New Roman" w:cs="Times New Roman"/>
          <w:kern w:val="0"/>
          <w14:ligatures w14:val="none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q</m:t>
              </m:r>
            </m:e>
            <m:sub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s</m:t>
              </m:r>
            </m:sub>
          </m:sSub>
          <m:r>
            <w:rPr>
              <w:rFonts w:ascii="Cambria Math" w:eastAsia="Calibri" w:hAnsi="Cambria Math" w:cs="Times New Roman"/>
              <w:kern w:val="0"/>
              <w14:ligatures w14:val="none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kern w:val="0"/>
                  <w14:ligatures w14:val="none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kern w:val="0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kern w:val="0"/>
                      <w14:ligatures w14:val="none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kern w:val="0"/>
                      <w14:ligatures w14:val="none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kern w:val="0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kern w:val="0"/>
                      <w14:ligatures w14:val="none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kern w:val="0"/>
                      <w14:ligatures w14:val="none"/>
                    </w:rPr>
                    <m:t>L</m:t>
                  </m:r>
                </m:sub>
              </m:sSub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kern w:val="0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kern w:val="0"/>
                      <w14:ligatures w14:val="none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kern w:val="0"/>
                      <w14:ligatures w14:val="none"/>
                    </w:rPr>
                    <m:t>x</m:t>
                  </m:r>
                </m:sub>
              </m:sSub>
            </m:den>
          </m:f>
        </m:oMath>
      </m:oMathPara>
    </w:p>
    <w:p w14:paraId="08F6E618" w14:textId="77777777" w:rsidR="00460963" w:rsidRPr="00460963" w:rsidRDefault="00460963" w:rsidP="00460963">
      <w:pPr>
        <w:spacing w:line="36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R</m:t>
              </m:r>
            </m:e>
            <m:sub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s</m:t>
              </m:r>
            </m:sub>
          </m:sSub>
          <m:r>
            <w:rPr>
              <w:rFonts w:ascii="Cambria Math" w:eastAsia="Calibri" w:hAnsi="Cambria Math" w:cs="Times New Roman"/>
              <w:kern w:val="0"/>
              <w14:ligatures w14:val="none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F</m:t>
              </m:r>
            </m:e>
            <m:sub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out</m:t>
              </m:r>
            </m:sub>
          </m:sSub>
          <m:r>
            <w:rPr>
              <w:rFonts w:ascii="Cambria Math" w:eastAsia="Calibri" w:hAnsi="Cambria Math" w:cs="Times New Roman"/>
              <w:kern w:val="0"/>
              <w14:ligatures w14:val="none"/>
            </w:rPr>
            <m:t>∙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s,out</m:t>
              </m:r>
            </m:sub>
          </m:sSub>
          <m:r>
            <w:rPr>
              <w:rFonts w:ascii="Cambria Math" w:eastAsia="Calibri" w:hAnsi="Cambria Math" w:cs="Times New Roman"/>
              <w:kern w:val="0"/>
              <w14:ligatures w14:val="none"/>
            </w:rPr>
            <m:t>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F</m:t>
              </m:r>
            </m:e>
            <m:sub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in</m:t>
              </m:r>
            </m:sub>
          </m:sSub>
          <m:r>
            <w:rPr>
              <w:rFonts w:ascii="Cambria Math" w:eastAsia="Calibri" w:hAnsi="Cambria Math" w:cs="Times New Roman"/>
              <w:kern w:val="0"/>
              <w14:ligatures w14:val="none"/>
            </w:rPr>
            <m:t>∙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s,in</m:t>
              </m:r>
            </m:sub>
          </m:sSub>
        </m:oMath>
      </m:oMathPara>
    </w:p>
    <w:p w14:paraId="02E5E4B0" w14:textId="77777777" w:rsidR="00460963" w:rsidRPr="00460963" w:rsidRDefault="00460963" w:rsidP="00460963">
      <w:pPr>
        <w:rPr>
          <w:rFonts w:ascii="Times New Roman" w:eastAsia="Calibri" w:hAnsi="Times New Roman" w:cs="Times New Roman"/>
          <w:kern w:val="0"/>
          <w14:ligatures w14:val="none"/>
        </w:rPr>
      </w:pPr>
      <w:r w:rsidRPr="00460963">
        <w:rPr>
          <w:rFonts w:ascii="Times New Roman" w:eastAsia="Calibri" w:hAnsi="Times New Roman" w:cs="Times New Roman"/>
          <w:kern w:val="0"/>
          <w14:ligatures w14:val="none"/>
        </w:rPr>
        <w:br w:type="page"/>
      </w:r>
    </w:p>
    <w:p w14:paraId="4882EFBB" w14:textId="77777777" w:rsidR="00460963" w:rsidRPr="00460963" w:rsidRDefault="00460963" w:rsidP="00460963">
      <w:pPr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60963">
        <w:rPr>
          <w:rFonts w:ascii="Times New Roman" w:eastAsia="Calibri" w:hAnsi="Times New Roman" w:cs="Times New Roman"/>
          <w:noProof/>
          <w:kern w:val="0"/>
          <w:lang w:val="en-US"/>
          <w14:ligatures w14:val="none"/>
        </w:rPr>
        <w:lastRenderedPageBreak/>
        <w:drawing>
          <wp:inline distT="0" distB="0" distL="0" distR="0" wp14:anchorId="1EA3F3DF" wp14:editId="12CF778C">
            <wp:extent cx="5539047" cy="3314007"/>
            <wp:effectExtent l="0" t="0" r="5080" b="1270"/>
            <wp:docPr id="1755146158" name="Picture 5" descr="A graph of a gas inl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146158" name="Picture 5" descr="A graph of a gas inle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9047" cy="3314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3B0D3" w14:textId="77777777" w:rsidR="00460963" w:rsidRPr="00460963" w:rsidRDefault="00460963" w:rsidP="00460963">
      <w:pPr>
        <w:spacing w:line="36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60963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Supplementary Figure III. </w:t>
      </w:r>
      <w:r w:rsidRPr="00460963">
        <w:rPr>
          <w:rFonts w:ascii="Times New Roman" w:eastAsia="Calibri" w:hAnsi="Times New Roman" w:cs="Times New Roman"/>
          <w:kern w:val="0"/>
          <w14:ligatures w14:val="none"/>
        </w:rPr>
        <w:t>Biomass specific acetate production rate (</w:t>
      </w:r>
      <w:proofErr w:type="spellStart"/>
      <w:r w:rsidRPr="00460963">
        <w:rPr>
          <w:rFonts w:ascii="Times New Roman" w:eastAsia="Calibri" w:hAnsi="Times New Roman" w:cs="Times New Roman"/>
          <w:kern w:val="0"/>
          <w14:ligatures w14:val="none"/>
        </w:rPr>
        <w:t>q</w:t>
      </w:r>
      <w:r w:rsidRPr="00460963">
        <w:rPr>
          <w:rFonts w:ascii="Times New Roman" w:eastAsia="Calibri" w:hAnsi="Times New Roman" w:cs="Times New Roman"/>
          <w:kern w:val="0"/>
          <w:vertAlign w:val="subscript"/>
          <w14:ligatures w14:val="none"/>
        </w:rPr>
        <w:t>ac</w:t>
      </w:r>
      <w:proofErr w:type="spellEnd"/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) data of </w:t>
      </w:r>
      <w:r w:rsidRPr="00460963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C. thermarum </w:t>
      </w:r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chemostats. Raw data to obtain these values can be found in </w:t>
      </w:r>
      <w:r w:rsidRPr="00460963">
        <w:rPr>
          <w:rFonts w:ascii="Times New Roman" w:eastAsia="Calibri" w:hAnsi="Times New Roman" w:cs="Times New Roman"/>
          <w:b/>
          <w:bCs/>
          <w:kern w:val="0"/>
          <w14:ligatures w14:val="none"/>
        </w:rPr>
        <w:t>Supplementary Table I</w:t>
      </w:r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. All bioreactors were operated in biological duplicates and underlying analysis methods were duplicated technically in addition. Error bars shown are the standard deviations over the entire sample set. The </w:t>
      </w:r>
      <w:proofErr w:type="spellStart"/>
      <w:r w:rsidRPr="00460963">
        <w:rPr>
          <w:rFonts w:ascii="Times New Roman" w:eastAsia="Calibri" w:hAnsi="Times New Roman" w:cs="Times New Roman"/>
          <w:kern w:val="0"/>
          <w14:ligatures w14:val="none"/>
        </w:rPr>
        <w:t>q</w:t>
      </w:r>
      <w:r w:rsidRPr="00460963">
        <w:rPr>
          <w:rFonts w:ascii="Times New Roman" w:eastAsia="Calibri" w:hAnsi="Times New Roman" w:cs="Times New Roman"/>
          <w:kern w:val="0"/>
          <w:vertAlign w:val="subscript"/>
          <w14:ligatures w14:val="none"/>
        </w:rPr>
        <w:t>ac</w:t>
      </w:r>
      <w:proofErr w:type="spellEnd"/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 was calculated with formula’s below.</w:t>
      </w:r>
    </w:p>
    <w:p w14:paraId="741381F7" w14:textId="77777777" w:rsidR="00460963" w:rsidRPr="00460963" w:rsidRDefault="00460963" w:rsidP="00460963">
      <w:pPr>
        <w:spacing w:line="360" w:lineRule="auto"/>
        <w:jc w:val="both"/>
        <w:rPr>
          <w:rFonts w:ascii="Times New Roman" w:eastAsia="Yu Mincho" w:hAnsi="Times New Roman" w:cs="Times New Roman"/>
          <w:kern w:val="0"/>
          <w14:ligatures w14:val="none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q</m:t>
              </m:r>
            </m:e>
            <m:sub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ac</m:t>
              </m:r>
            </m:sub>
          </m:sSub>
          <m:r>
            <w:rPr>
              <w:rFonts w:ascii="Cambria Math" w:eastAsia="Calibri" w:hAnsi="Cambria Math" w:cs="Times New Roman"/>
              <w:kern w:val="0"/>
              <w14:ligatures w14:val="none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kern w:val="0"/>
                  <w14:ligatures w14:val="none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kern w:val="0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kern w:val="0"/>
                      <w14:ligatures w14:val="none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kern w:val="0"/>
                      <w14:ligatures w14:val="none"/>
                    </w:rPr>
                    <m:t>ac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kern w:val="0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kern w:val="0"/>
                      <w14:ligatures w14:val="none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kern w:val="0"/>
                      <w14:ligatures w14:val="none"/>
                    </w:rPr>
                    <m:t>L</m:t>
                  </m:r>
                </m:sub>
              </m:sSub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kern w:val="0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kern w:val="0"/>
                      <w14:ligatures w14:val="none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kern w:val="0"/>
                      <w14:ligatures w14:val="none"/>
                    </w:rPr>
                    <m:t>x</m:t>
                  </m:r>
                </m:sub>
              </m:sSub>
            </m:den>
          </m:f>
        </m:oMath>
      </m:oMathPara>
    </w:p>
    <w:p w14:paraId="2B6DCF7A" w14:textId="77777777" w:rsidR="00460963" w:rsidRPr="00460963" w:rsidRDefault="00460963" w:rsidP="00460963">
      <w:pPr>
        <w:spacing w:line="36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R</m:t>
              </m:r>
            </m:e>
            <m:sub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s</m:t>
              </m:r>
            </m:sub>
          </m:sSub>
          <m:r>
            <w:rPr>
              <w:rFonts w:ascii="Cambria Math" w:eastAsia="Calibri" w:hAnsi="Cambria Math" w:cs="Times New Roman"/>
              <w:kern w:val="0"/>
              <w14:ligatures w14:val="none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F</m:t>
              </m:r>
            </m:e>
            <m:sub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out</m:t>
              </m:r>
            </m:sub>
          </m:sSub>
          <m:r>
            <w:rPr>
              <w:rFonts w:ascii="Cambria Math" w:eastAsia="Calibri" w:hAnsi="Cambria Math" w:cs="Times New Roman"/>
              <w:kern w:val="0"/>
              <w14:ligatures w14:val="none"/>
            </w:rPr>
            <m:t>∙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ac,out</m:t>
              </m:r>
            </m:sub>
          </m:sSub>
          <m:r>
            <w:rPr>
              <w:rFonts w:ascii="Cambria Math" w:eastAsia="Calibri" w:hAnsi="Cambria Math" w:cs="Times New Roman"/>
              <w:kern w:val="0"/>
              <w14:ligatures w14:val="none"/>
            </w:rPr>
            <m:t>-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F</m:t>
              </m:r>
            </m:e>
            <m:sub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in</m:t>
              </m:r>
            </m:sub>
          </m:sSub>
          <m:r>
            <w:rPr>
              <w:rFonts w:ascii="Cambria Math" w:eastAsia="Calibri" w:hAnsi="Cambria Math" w:cs="Times New Roman"/>
              <w:kern w:val="0"/>
              <w14:ligatures w14:val="none"/>
            </w:rPr>
            <m:t>∙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kern w:val="0"/>
                  <w14:ligatures w14:val="none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ac,in</m:t>
              </m:r>
            </m:sub>
          </m:sSub>
        </m:oMath>
      </m:oMathPara>
    </w:p>
    <w:p w14:paraId="2EBD40C8" w14:textId="77777777" w:rsidR="00460963" w:rsidRPr="00460963" w:rsidRDefault="00460963" w:rsidP="00460963">
      <w:pPr>
        <w:spacing w:line="36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D6AFABF" w14:textId="77777777" w:rsidR="00460963" w:rsidRPr="00460963" w:rsidRDefault="00460963" w:rsidP="00460963">
      <w:pPr>
        <w:rPr>
          <w:rFonts w:ascii="Times New Roman" w:eastAsia="Yu Gothic Light" w:hAnsi="Times New Roman" w:cs="Times New Roman"/>
          <w:kern w:val="0"/>
          <w:sz w:val="26"/>
          <w:szCs w:val="26"/>
          <w14:ligatures w14:val="none"/>
        </w:rPr>
      </w:pPr>
      <w:r w:rsidRPr="00460963">
        <w:rPr>
          <w:rFonts w:ascii="Times New Roman" w:eastAsia="Calibri" w:hAnsi="Times New Roman" w:cs="Times New Roman"/>
          <w:kern w:val="0"/>
          <w14:ligatures w14:val="none"/>
        </w:rPr>
        <w:br w:type="page"/>
      </w:r>
    </w:p>
    <w:p w14:paraId="7C222CCD" w14:textId="77777777" w:rsidR="00460963" w:rsidRPr="00460963" w:rsidRDefault="00460963" w:rsidP="00460963">
      <w:pPr>
        <w:rPr>
          <w:rFonts w:ascii="Times New Roman" w:eastAsia="Calibri" w:hAnsi="Times New Roman" w:cs="Times New Roman"/>
          <w:kern w:val="0"/>
          <w14:ligatures w14:val="none"/>
        </w:rPr>
      </w:pPr>
      <w:r w:rsidRPr="00460963">
        <w:rPr>
          <w:rFonts w:ascii="Times New Roman" w:eastAsia="Calibri" w:hAnsi="Times New Roman" w:cs="Times New Roman"/>
          <w:b/>
          <w:bCs/>
          <w:kern w:val="0"/>
          <w14:ligatures w14:val="none"/>
        </w:rPr>
        <w:lastRenderedPageBreak/>
        <w:t xml:space="preserve">Supplementary Table I. </w:t>
      </w:r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Raw concentration values used to calculate the biomass specific rates of </w:t>
      </w:r>
      <w:r w:rsidRPr="00460963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Supplementary Figure II </w:t>
      </w:r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and </w:t>
      </w:r>
      <w:r w:rsidRPr="00460963">
        <w:rPr>
          <w:rFonts w:ascii="Times New Roman" w:eastAsia="Calibri" w:hAnsi="Times New Roman" w:cs="Times New Roman"/>
          <w:b/>
          <w:bCs/>
          <w:kern w:val="0"/>
          <w14:ligatures w14:val="none"/>
        </w:rPr>
        <w:t>Supplementary Figure III</w:t>
      </w:r>
      <w:r w:rsidRPr="00460963">
        <w:rPr>
          <w:rFonts w:ascii="Times New Roman" w:eastAsia="Calibri" w:hAnsi="Times New Roman" w:cs="Times New Roman"/>
          <w:kern w:val="0"/>
          <w14:ligatures w14:val="none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1569"/>
        <w:gridCol w:w="1570"/>
        <w:gridCol w:w="1570"/>
      </w:tblGrid>
      <w:tr w:rsidR="00460963" w:rsidRPr="00460963" w14:paraId="019DD56E" w14:textId="77777777" w:rsidTr="00174C06">
        <w:tc>
          <w:tcPr>
            <w:tcW w:w="2254" w:type="dxa"/>
          </w:tcPr>
          <w:p w14:paraId="461DB640" w14:textId="77777777" w:rsidR="00460963" w:rsidRPr="00460963" w:rsidRDefault="00460963" w:rsidP="00460963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O</w:t>
            </w:r>
            <w:r w:rsidRPr="00460963">
              <w:rPr>
                <w:rFonts w:ascii="Times New Roman" w:eastAsia="Calibri" w:hAnsi="Times New Roman" w:cs="Times New Roman"/>
                <w:b/>
                <w:bCs/>
                <w:vertAlign w:val="subscript"/>
              </w:rPr>
              <w:t>2</w:t>
            </w:r>
            <w:r w:rsidRPr="00460963">
              <w:rPr>
                <w:rFonts w:ascii="Times New Roman" w:eastAsia="Calibri" w:hAnsi="Times New Roman" w:cs="Times New Roman"/>
                <w:b/>
                <w:bCs/>
              </w:rPr>
              <w:t xml:space="preserve"> in gas inlet (%)</w:t>
            </w:r>
          </w:p>
        </w:tc>
        <w:tc>
          <w:tcPr>
            <w:tcW w:w="1569" w:type="dxa"/>
          </w:tcPr>
          <w:p w14:paraId="7CE57FCD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c</w:t>
            </w:r>
            <w:r w:rsidRPr="00460963">
              <w:rPr>
                <w:rFonts w:ascii="Times New Roman" w:eastAsia="Calibri" w:hAnsi="Times New Roman" w:cs="Times New Roman"/>
                <w:b/>
                <w:bCs/>
                <w:vertAlign w:val="subscript"/>
              </w:rPr>
              <w:t>x</w:t>
            </w:r>
            <w:r w:rsidRPr="00460963">
              <w:rPr>
                <w:rFonts w:ascii="Times New Roman" w:eastAsia="Calibri" w:hAnsi="Times New Roman" w:cs="Times New Roman"/>
                <w:b/>
                <w:bCs/>
              </w:rPr>
              <w:t xml:space="preserve"> (g L</w:t>
            </w:r>
            <w:r w:rsidRPr="00460963">
              <w:rPr>
                <w:rFonts w:ascii="Times New Roman" w:eastAsia="Calibri" w:hAnsi="Times New Roman" w:cs="Times New Roman"/>
                <w:b/>
                <w:bCs/>
                <w:vertAlign w:val="superscript"/>
              </w:rPr>
              <w:t>-1</w:t>
            </w:r>
            <w:r w:rsidRPr="00460963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  <w:tc>
          <w:tcPr>
            <w:tcW w:w="1570" w:type="dxa"/>
          </w:tcPr>
          <w:p w14:paraId="0B64D16A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c</w:t>
            </w:r>
            <w:r w:rsidRPr="00460963">
              <w:rPr>
                <w:rFonts w:ascii="Times New Roman" w:eastAsia="Calibri" w:hAnsi="Times New Roman" w:cs="Times New Roman"/>
                <w:b/>
                <w:bCs/>
                <w:vertAlign w:val="subscript"/>
              </w:rPr>
              <w:t>s</w:t>
            </w:r>
            <w:r w:rsidRPr="00460963">
              <w:rPr>
                <w:rFonts w:ascii="Times New Roman" w:eastAsia="Calibri" w:hAnsi="Times New Roman" w:cs="Times New Roman"/>
                <w:b/>
                <w:bCs/>
              </w:rPr>
              <w:t xml:space="preserve"> (mM)</w:t>
            </w:r>
          </w:p>
        </w:tc>
        <w:tc>
          <w:tcPr>
            <w:tcW w:w="1570" w:type="dxa"/>
          </w:tcPr>
          <w:p w14:paraId="35C27F63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b/>
                <w:bCs/>
              </w:rPr>
              <w:t>c</w:t>
            </w:r>
            <w:r w:rsidRPr="00460963">
              <w:rPr>
                <w:rFonts w:ascii="Times New Roman" w:eastAsia="Calibri" w:hAnsi="Times New Roman" w:cs="Times New Roman"/>
                <w:b/>
                <w:bCs/>
                <w:vertAlign w:val="subscript"/>
              </w:rPr>
              <w:t>ac</w:t>
            </w:r>
            <w:proofErr w:type="spellEnd"/>
            <w:r w:rsidRPr="00460963">
              <w:rPr>
                <w:rFonts w:ascii="Times New Roman" w:eastAsia="Calibri" w:hAnsi="Times New Roman" w:cs="Times New Roman"/>
                <w:b/>
                <w:bCs/>
              </w:rPr>
              <w:t xml:space="preserve"> (mM)</w:t>
            </w:r>
          </w:p>
        </w:tc>
      </w:tr>
      <w:tr w:rsidR="00460963" w:rsidRPr="00460963" w14:paraId="5E7F1527" w14:textId="77777777" w:rsidTr="00174C06">
        <w:tc>
          <w:tcPr>
            <w:tcW w:w="2254" w:type="dxa"/>
          </w:tcPr>
          <w:p w14:paraId="1F1195FC" w14:textId="77777777" w:rsidR="00460963" w:rsidRPr="00460963" w:rsidRDefault="00460963" w:rsidP="00460963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4.2</w:t>
            </w:r>
          </w:p>
        </w:tc>
        <w:tc>
          <w:tcPr>
            <w:tcW w:w="1569" w:type="dxa"/>
          </w:tcPr>
          <w:p w14:paraId="00B3A0CB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0.725 ± 0.009</w:t>
            </w:r>
          </w:p>
        </w:tc>
        <w:tc>
          <w:tcPr>
            <w:tcW w:w="1570" w:type="dxa"/>
          </w:tcPr>
          <w:p w14:paraId="062C4C3A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14.250 ± 6.219</w:t>
            </w:r>
          </w:p>
        </w:tc>
        <w:tc>
          <w:tcPr>
            <w:tcW w:w="1570" w:type="dxa"/>
          </w:tcPr>
          <w:p w14:paraId="6C74F8F1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0.000 ± 0.000</w:t>
            </w:r>
          </w:p>
        </w:tc>
      </w:tr>
      <w:tr w:rsidR="00460963" w:rsidRPr="00460963" w14:paraId="7081E68D" w14:textId="77777777" w:rsidTr="00174C06">
        <w:tc>
          <w:tcPr>
            <w:tcW w:w="2254" w:type="dxa"/>
          </w:tcPr>
          <w:p w14:paraId="4C5B692F" w14:textId="77777777" w:rsidR="00460963" w:rsidRPr="00460963" w:rsidRDefault="00460963" w:rsidP="00460963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2.1</w:t>
            </w:r>
          </w:p>
        </w:tc>
        <w:tc>
          <w:tcPr>
            <w:tcW w:w="1569" w:type="dxa"/>
          </w:tcPr>
          <w:p w14:paraId="69DF1F1E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0.611 ± 0.066</w:t>
            </w:r>
          </w:p>
        </w:tc>
        <w:tc>
          <w:tcPr>
            <w:tcW w:w="1570" w:type="dxa"/>
          </w:tcPr>
          <w:p w14:paraId="2FB9A315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19.552 ± 0.353</w:t>
            </w:r>
          </w:p>
        </w:tc>
        <w:tc>
          <w:tcPr>
            <w:tcW w:w="1570" w:type="dxa"/>
          </w:tcPr>
          <w:p w14:paraId="7FB226A8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19.571 ± 0.730</w:t>
            </w:r>
          </w:p>
        </w:tc>
      </w:tr>
      <w:tr w:rsidR="00460963" w:rsidRPr="00460963" w14:paraId="74A6A0F1" w14:textId="77777777" w:rsidTr="00174C06">
        <w:tc>
          <w:tcPr>
            <w:tcW w:w="2254" w:type="dxa"/>
          </w:tcPr>
          <w:p w14:paraId="4276A23D" w14:textId="77777777" w:rsidR="00460963" w:rsidRPr="00460963" w:rsidRDefault="00460963" w:rsidP="00460963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1.05</w:t>
            </w:r>
          </w:p>
        </w:tc>
        <w:tc>
          <w:tcPr>
            <w:tcW w:w="1569" w:type="dxa"/>
          </w:tcPr>
          <w:p w14:paraId="5C3AD11B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0.332 ± 0.070</w:t>
            </w:r>
          </w:p>
        </w:tc>
        <w:tc>
          <w:tcPr>
            <w:tcW w:w="1570" w:type="dxa"/>
          </w:tcPr>
          <w:p w14:paraId="5774D592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24.558 ± 0.799</w:t>
            </w:r>
          </w:p>
        </w:tc>
        <w:tc>
          <w:tcPr>
            <w:tcW w:w="1570" w:type="dxa"/>
          </w:tcPr>
          <w:p w14:paraId="383216EF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6.452 ± 2.833</w:t>
            </w:r>
          </w:p>
        </w:tc>
      </w:tr>
      <w:tr w:rsidR="00460963" w:rsidRPr="00460963" w14:paraId="6F36574D" w14:textId="77777777" w:rsidTr="00174C06">
        <w:tc>
          <w:tcPr>
            <w:tcW w:w="2254" w:type="dxa"/>
          </w:tcPr>
          <w:p w14:paraId="377940C0" w14:textId="77777777" w:rsidR="00460963" w:rsidRPr="00460963" w:rsidRDefault="00460963" w:rsidP="00460963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0.42</w:t>
            </w:r>
          </w:p>
        </w:tc>
        <w:tc>
          <w:tcPr>
            <w:tcW w:w="1569" w:type="dxa"/>
          </w:tcPr>
          <w:p w14:paraId="41B5E1B0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0.254 ± 0.019</w:t>
            </w:r>
          </w:p>
        </w:tc>
        <w:tc>
          <w:tcPr>
            <w:tcW w:w="1570" w:type="dxa"/>
          </w:tcPr>
          <w:p w14:paraId="799FF1E7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17.510 ± 8.512</w:t>
            </w:r>
          </w:p>
        </w:tc>
        <w:tc>
          <w:tcPr>
            <w:tcW w:w="1570" w:type="dxa"/>
          </w:tcPr>
          <w:p w14:paraId="08102A60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7.899 ± 5.714</w:t>
            </w:r>
          </w:p>
        </w:tc>
      </w:tr>
      <w:tr w:rsidR="00460963" w:rsidRPr="00460963" w14:paraId="2D27EF61" w14:textId="77777777" w:rsidTr="00174C06">
        <w:tc>
          <w:tcPr>
            <w:tcW w:w="2254" w:type="dxa"/>
          </w:tcPr>
          <w:p w14:paraId="12C0082E" w14:textId="77777777" w:rsidR="00460963" w:rsidRPr="00460963" w:rsidRDefault="00460963" w:rsidP="00460963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0.25</w:t>
            </w:r>
          </w:p>
        </w:tc>
        <w:tc>
          <w:tcPr>
            <w:tcW w:w="1569" w:type="dxa"/>
          </w:tcPr>
          <w:p w14:paraId="6C069311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0.190 ± 0.069</w:t>
            </w:r>
          </w:p>
        </w:tc>
        <w:tc>
          <w:tcPr>
            <w:tcW w:w="1570" w:type="dxa"/>
          </w:tcPr>
          <w:p w14:paraId="5344E285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17.313 ± 6.399</w:t>
            </w:r>
          </w:p>
        </w:tc>
        <w:tc>
          <w:tcPr>
            <w:tcW w:w="1570" w:type="dxa"/>
          </w:tcPr>
          <w:p w14:paraId="14B2DF29" w14:textId="77777777" w:rsidR="00460963" w:rsidRPr="00460963" w:rsidRDefault="00460963" w:rsidP="0046096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60963">
              <w:rPr>
                <w:rFonts w:ascii="Times New Roman" w:eastAsia="Calibri" w:hAnsi="Times New Roman" w:cs="Times New Roman"/>
                <w:b/>
                <w:bCs/>
              </w:rPr>
              <w:t>8.843 ± 0.901</w:t>
            </w:r>
          </w:p>
        </w:tc>
      </w:tr>
    </w:tbl>
    <w:p w14:paraId="70171AA7" w14:textId="77777777" w:rsidR="00460963" w:rsidRPr="00460963" w:rsidRDefault="00460963" w:rsidP="00460963">
      <w:pPr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460963">
        <w:rPr>
          <w:rFonts w:ascii="Times New Roman" w:eastAsia="Calibri" w:hAnsi="Times New Roman" w:cs="Times New Roman"/>
          <w:b/>
          <w:bCs/>
          <w:kern w:val="0"/>
          <w14:ligatures w14:val="none"/>
        </w:rPr>
        <w:br w:type="page"/>
      </w:r>
    </w:p>
    <w:p w14:paraId="41665E45" w14:textId="77777777" w:rsidR="00460963" w:rsidRPr="00460963" w:rsidRDefault="00460963" w:rsidP="00460963">
      <w:pPr>
        <w:spacing w:line="36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60963">
        <w:rPr>
          <w:rFonts w:ascii="Times New Roman" w:eastAsia="Calibri" w:hAnsi="Times New Roman" w:cs="Times New Roman"/>
          <w:b/>
          <w:bCs/>
          <w:kern w:val="0"/>
          <w14:ligatures w14:val="none"/>
        </w:rPr>
        <w:lastRenderedPageBreak/>
        <w:t xml:space="preserve">Supplementary Table II. </w:t>
      </w:r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KEGG Module names corresponding to names used in to </w:t>
      </w:r>
      <w:r w:rsidRPr="00460963">
        <w:rPr>
          <w:rFonts w:ascii="Times New Roman" w:eastAsia="Calibri" w:hAnsi="Times New Roman" w:cs="Times New Roman"/>
          <w:b/>
          <w:bCs/>
          <w:kern w:val="0"/>
          <w14:ligatures w14:val="none"/>
        </w:rPr>
        <w:t>Figure 2</w:t>
      </w:r>
      <w:r w:rsidRPr="00460963">
        <w:rPr>
          <w:rFonts w:ascii="Times New Roman" w:eastAsia="Calibri" w:hAnsi="Times New Roman" w:cs="Times New Roman"/>
          <w:kern w:val="0"/>
          <w14:ligatures w14:val="none"/>
        </w:rPr>
        <w:t>.</w:t>
      </w:r>
    </w:p>
    <w:tbl>
      <w:tblPr>
        <w:tblW w:w="57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1"/>
        <w:gridCol w:w="1519"/>
      </w:tblGrid>
      <w:tr w:rsidR="00460963" w:rsidRPr="00460963" w14:paraId="2C9597FA" w14:textId="77777777" w:rsidTr="00174C06">
        <w:trPr>
          <w:trHeight w:val="300"/>
        </w:trPr>
        <w:tc>
          <w:tcPr>
            <w:tcW w:w="41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B6299" w14:textId="77777777" w:rsidR="00460963" w:rsidRPr="00460963" w:rsidRDefault="00460963" w:rsidP="004609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Pathway Identifier</w:t>
            </w:r>
          </w:p>
        </w:tc>
        <w:tc>
          <w:tcPr>
            <w:tcW w:w="1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23FC6" w14:textId="77777777" w:rsidR="00460963" w:rsidRPr="00460963" w:rsidRDefault="00460963" w:rsidP="004609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Calibri" w:eastAsia="Times New Roman" w:hAnsi="Calibri" w:cs="Calibri"/>
                <w:b/>
                <w:bCs/>
                <w:kern w:val="0"/>
                <w:lang w:val="nl-NL" w:eastAsia="nl-NL"/>
                <w14:ligatures w14:val="none"/>
              </w:rPr>
              <w:t>KEGG Module</w:t>
            </w:r>
          </w:p>
        </w:tc>
      </w:tr>
      <w:tr w:rsidR="00460963" w:rsidRPr="00460963" w14:paraId="1164F916" w14:textId="77777777" w:rsidTr="00174C06">
        <w:trPr>
          <w:trHeight w:val="300"/>
        </w:trPr>
        <w:tc>
          <w:tcPr>
            <w:tcW w:w="419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40DD8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eastAsia="nl-NL"/>
                <w14:ligatures w14:val="none"/>
              </w:rPr>
              <w:t>Glycolysis (full)</w:t>
            </w:r>
          </w:p>
        </w:tc>
        <w:tc>
          <w:tcPr>
            <w:tcW w:w="151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B78B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M00001</w:t>
            </w:r>
          </w:p>
        </w:tc>
      </w:tr>
      <w:tr w:rsidR="00460963" w:rsidRPr="00460963" w14:paraId="340302EB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48431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Glycolysis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(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lower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03A22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M00002</w:t>
            </w:r>
          </w:p>
        </w:tc>
      </w:tr>
      <w:tr w:rsidR="00460963" w:rsidRPr="00460963" w14:paraId="3DD4451C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3BFAB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Gluconeogenesis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CFC35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M00003</w:t>
            </w:r>
          </w:p>
        </w:tc>
      </w:tr>
      <w:tr w:rsidR="00460963" w:rsidRPr="00460963" w14:paraId="409A7E68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C246F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Pentose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phosphate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pathway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E60F6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M00004</w:t>
            </w:r>
          </w:p>
        </w:tc>
      </w:tr>
      <w:tr w:rsidR="00460963" w:rsidRPr="00460963" w14:paraId="3856E486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028BD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eastAsia="nl-NL"/>
                <w14:ligatures w14:val="none"/>
              </w:rPr>
              <w:t>Reductive pentose phosphate cycle (Calvin)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77CAD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M00165</w:t>
            </w:r>
          </w:p>
        </w:tc>
      </w:tr>
      <w:tr w:rsidR="00460963" w:rsidRPr="00460963" w14:paraId="7AEC65E0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9B3D4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Reductive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pentose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phosphate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cycle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4D356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M00167</w:t>
            </w:r>
          </w:p>
        </w:tc>
      </w:tr>
      <w:tr w:rsidR="00460963" w:rsidRPr="00460963" w14:paraId="3377DC9E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D4832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TCA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cycle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78FE3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M00009</w:t>
            </w:r>
          </w:p>
        </w:tc>
      </w:tr>
      <w:tr w:rsidR="00460963" w:rsidRPr="00460963" w14:paraId="105690BF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77B7B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eastAsia="nl-NL"/>
                <w14:ligatures w14:val="none"/>
              </w:rPr>
              <w:t>TCA cycle (second carbon oxidation)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8EE9B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M00011</w:t>
            </w:r>
          </w:p>
        </w:tc>
      </w:tr>
      <w:tr w:rsidR="00460963" w:rsidRPr="00460963" w14:paraId="799F9A13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9A2B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Reductive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citrate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cycle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58F5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M00173</w:t>
            </w:r>
          </w:p>
        </w:tc>
      </w:tr>
      <w:tr w:rsidR="00460963" w:rsidRPr="00460963" w14:paraId="39CBB688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6BA64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Incomplete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reductive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citrate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cycle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99953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M00620</w:t>
            </w:r>
          </w:p>
        </w:tc>
      </w:tr>
      <w:tr w:rsidR="00460963" w:rsidRPr="00460963" w14:paraId="7D77A547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64DC8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eastAsia="nl-NL"/>
                <w14:ligatures w14:val="none"/>
              </w:rPr>
              <w:t>Pyruvate oxidation to acetyl-CoA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D6CE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M00307</w:t>
            </w:r>
          </w:p>
        </w:tc>
      </w:tr>
      <w:tr w:rsidR="00460963" w:rsidRPr="00460963" w14:paraId="7C84DCEF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C8C27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Dicarboxylate-hydroxybutyrate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cycle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9BA4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M00374</w:t>
            </w:r>
          </w:p>
        </w:tc>
      </w:tr>
      <w:tr w:rsidR="00460963" w:rsidRPr="00460963" w14:paraId="5F8979B0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CAE6B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3-Hydroxypropionate bi-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cycle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C006F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M00376</w:t>
            </w:r>
          </w:p>
        </w:tc>
      </w:tr>
      <w:tr w:rsidR="00460963" w:rsidRPr="00460963" w14:paraId="7EA521BA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E4D33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Skikimate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pathway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46576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M00022</w:t>
            </w:r>
          </w:p>
        </w:tc>
      </w:tr>
      <w:tr w:rsidR="00460963" w:rsidRPr="00460963" w14:paraId="514D42FE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BCFD0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Methionine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salvage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pathway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2021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M00034</w:t>
            </w:r>
          </w:p>
        </w:tc>
      </w:tr>
      <w:tr w:rsidR="00460963" w:rsidRPr="00460963" w14:paraId="355B1F67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DC2D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De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novo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purine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E5A4E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M00048</w:t>
            </w:r>
          </w:p>
        </w:tc>
      </w:tr>
      <w:tr w:rsidR="00460963" w:rsidRPr="00460963" w14:paraId="6A97429D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08DAF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De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novo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pyrimidine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82F30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M00051</w:t>
            </w:r>
          </w:p>
        </w:tc>
      </w:tr>
      <w:tr w:rsidR="00460963" w:rsidRPr="00460963" w14:paraId="02E13D55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37CBE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Fatty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acid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(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initiation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55A97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M00082</w:t>
            </w:r>
          </w:p>
        </w:tc>
      </w:tr>
      <w:tr w:rsidR="00460963" w:rsidRPr="00460963" w14:paraId="48A838FC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9DB4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Fatty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acid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(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elongation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0C23B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M00083</w:t>
            </w:r>
          </w:p>
        </w:tc>
      </w:tr>
      <w:tr w:rsidR="00460963" w:rsidRPr="00460963" w14:paraId="71841912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EF66F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C5-isoprenoid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0E6D4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M00096</w:t>
            </w:r>
          </w:p>
        </w:tc>
      </w:tr>
      <w:tr w:rsidR="00460963" w:rsidRPr="00460963" w14:paraId="26A13E2A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2C15F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Heme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(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glutamate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140D7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M00121</w:t>
            </w:r>
          </w:p>
        </w:tc>
      </w:tr>
      <w:tr w:rsidR="00460963" w:rsidRPr="00460963" w14:paraId="1B1C2FCD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A4BB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Heme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(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glutamyl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-tRNA)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E5ABF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M00926</w:t>
            </w:r>
          </w:p>
        </w:tc>
      </w:tr>
      <w:tr w:rsidR="00460963" w:rsidRPr="00460963" w14:paraId="017C801B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279DB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Riboflavin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98ABF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M00125</w:t>
            </w:r>
          </w:p>
        </w:tc>
      </w:tr>
      <w:tr w:rsidR="00460963" w:rsidRPr="00460963" w14:paraId="35C635D5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B408F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Tetrahydrofolate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8300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M00126</w:t>
            </w:r>
          </w:p>
        </w:tc>
      </w:tr>
      <w:tr w:rsidR="00460963" w:rsidRPr="00460963" w14:paraId="1E9AB87C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C0FA1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Thiamine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(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tyrosine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03AC0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M00127</w:t>
            </w:r>
          </w:p>
        </w:tc>
      </w:tr>
      <w:tr w:rsidR="00460963" w:rsidRPr="00460963" w14:paraId="6CD27E34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433A1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Thiamine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(glycine)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D8560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M00895</w:t>
            </w:r>
          </w:p>
        </w:tc>
      </w:tr>
      <w:tr w:rsidR="00460963" w:rsidRPr="00460963" w14:paraId="2C23FE13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071EC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NADH:quinone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oxidoreductase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F4D43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M00144</w:t>
            </w:r>
          </w:p>
        </w:tc>
      </w:tr>
      <w:tr w:rsidR="00460963" w:rsidRPr="00460963" w14:paraId="54740683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6E69B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F-type ATP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synthase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9C1FD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M00157</w:t>
            </w:r>
          </w:p>
        </w:tc>
      </w:tr>
      <w:tr w:rsidR="00460963" w:rsidRPr="00460963" w14:paraId="2ECAEF70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AB652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Lysine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(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succinyl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-DAP)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11C64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M00016</w:t>
            </w:r>
          </w:p>
        </w:tc>
      </w:tr>
      <w:tr w:rsidR="00460963" w:rsidRPr="00460963" w14:paraId="2D31882F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074A1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Lysine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(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acetyl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-DAP)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70F44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M00525</w:t>
            </w:r>
          </w:p>
        </w:tc>
      </w:tr>
      <w:tr w:rsidR="00460963" w:rsidRPr="00460963" w14:paraId="341EC41C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23CCD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Lysine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(DAP dehydrogenase)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37A7C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M00526</w:t>
            </w:r>
          </w:p>
        </w:tc>
      </w:tr>
      <w:tr w:rsidR="00460963" w:rsidRPr="00460963" w14:paraId="0E62D0C2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63094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Lysine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(DAP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aminotransferase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5F67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M00527</w:t>
            </w:r>
          </w:p>
        </w:tc>
      </w:tr>
      <w:tr w:rsidR="00460963" w:rsidRPr="00460963" w14:paraId="05F79522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F49E3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Pimeloyl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-ACP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7823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M00572</w:t>
            </w:r>
          </w:p>
        </w:tc>
      </w:tr>
      <w:tr w:rsidR="00460963" w:rsidRPr="00460963" w14:paraId="6BE1F429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F898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Molybdenum cofactor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D9E62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M00880</w:t>
            </w:r>
          </w:p>
        </w:tc>
      </w:tr>
      <w:tr w:rsidR="00460963" w:rsidRPr="00460963" w14:paraId="6A94CD73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0AB93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Cobalamin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(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anaerobic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308C8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M00924</w:t>
            </w:r>
          </w:p>
        </w:tc>
      </w:tr>
      <w:tr w:rsidR="00460963" w:rsidRPr="00460963" w14:paraId="09E05B62" w14:textId="77777777" w:rsidTr="00174C06">
        <w:trPr>
          <w:trHeight w:val="300"/>
        </w:trPr>
        <w:tc>
          <w:tcPr>
            <w:tcW w:w="41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AAB16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Cobalamin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</w:t>
            </w:r>
            <w:proofErr w:type="spellStart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biosynthesis</w:t>
            </w:r>
            <w:proofErr w:type="spellEnd"/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 xml:space="preserve"> (aerobic)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263ED" w14:textId="77777777" w:rsidR="00460963" w:rsidRPr="00460963" w:rsidRDefault="00460963" w:rsidP="0046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</w:pPr>
            <w:r w:rsidRPr="00460963">
              <w:rPr>
                <w:rFonts w:ascii="Times New Roman" w:eastAsia="Times New Roman" w:hAnsi="Times New Roman" w:cs="Times New Roman"/>
                <w:color w:val="000000"/>
                <w:kern w:val="0"/>
                <w:lang w:val="nl-NL" w:eastAsia="nl-NL"/>
                <w14:ligatures w14:val="none"/>
              </w:rPr>
              <w:t>M00925</w:t>
            </w:r>
          </w:p>
        </w:tc>
      </w:tr>
    </w:tbl>
    <w:p w14:paraId="7F1E81CF" w14:textId="77777777" w:rsidR="00460963" w:rsidRPr="00460963" w:rsidRDefault="00460963" w:rsidP="00460963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5066DFC7" w14:textId="77777777" w:rsidR="00460963" w:rsidRPr="00460963" w:rsidRDefault="00460963" w:rsidP="00460963">
      <w:pPr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460963">
        <w:rPr>
          <w:rFonts w:ascii="Times New Roman" w:eastAsia="Calibri" w:hAnsi="Times New Roman" w:cs="Times New Roman"/>
          <w:b/>
          <w:bCs/>
          <w:kern w:val="0"/>
          <w14:ligatures w14:val="none"/>
        </w:rPr>
        <w:br w:type="page"/>
      </w:r>
    </w:p>
    <w:p w14:paraId="15A3BF9E" w14:textId="77777777" w:rsidR="00460963" w:rsidRPr="00460963" w:rsidRDefault="00460963" w:rsidP="00460963">
      <w:pPr>
        <w:spacing w:line="36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60963">
        <w:rPr>
          <w:rFonts w:ascii="Times New Roman" w:eastAsia="Calibri" w:hAnsi="Times New Roman" w:cs="Times New Roman"/>
          <w:b/>
          <w:bCs/>
          <w:kern w:val="0"/>
          <w14:ligatures w14:val="none"/>
        </w:rPr>
        <w:lastRenderedPageBreak/>
        <w:t xml:space="preserve">Supplementary Table III. </w:t>
      </w:r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Locus tags of proteins for which data is shown in </w:t>
      </w:r>
      <w:r w:rsidRPr="00460963">
        <w:rPr>
          <w:rFonts w:ascii="Times New Roman" w:eastAsia="Calibri" w:hAnsi="Times New Roman" w:cs="Times New Roman"/>
          <w:b/>
          <w:bCs/>
          <w:kern w:val="0"/>
          <w14:ligatures w14:val="none"/>
        </w:rPr>
        <w:t>Figure 3</w:t>
      </w:r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, </w:t>
      </w:r>
      <w:r w:rsidRPr="00460963">
        <w:rPr>
          <w:rFonts w:ascii="Times New Roman" w:eastAsia="Calibri" w:hAnsi="Times New Roman" w:cs="Times New Roman"/>
          <w:b/>
          <w:bCs/>
          <w:kern w:val="0"/>
          <w14:ligatures w14:val="none"/>
        </w:rPr>
        <w:t>Figure 4</w:t>
      </w:r>
      <w:r w:rsidRPr="00460963">
        <w:rPr>
          <w:rFonts w:ascii="Times New Roman" w:eastAsia="Calibri" w:hAnsi="Times New Roman" w:cs="Times New Roman"/>
          <w:kern w:val="0"/>
          <w14:ligatures w14:val="none"/>
        </w:rPr>
        <w:t xml:space="preserve"> and </w:t>
      </w:r>
      <w:r w:rsidRPr="00460963">
        <w:rPr>
          <w:rFonts w:ascii="Times New Roman" w:eastAsia="Calibri" w:hAnsi="Times New Roman" w:cs="Times New Roman"/>
          <w:b/>
          <w:bCs/>
          <w:kern w:val="0"/>
          <w14:ligatures w14:val="none"/>
        </w:rPr>
        <w:t>Supplementary Figure I</w:t>
      </w:r>
      <w:r w:rsidRPr="00460963">
        <w:rPr>
          <w:rFonts w:ascii="Times New Roman" w:eastAsia="Calibri" w:hAnsi="Times New Roman" w:cs="Times New Roman"/>
          <w:kern w:val="0"/>
          <w14:ligatures w14:val="none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2605"/>
        <w:gridCol w:w="1985"/>
      </w:tblGrid>
      <w:tr w:rsidR="00460963" w:rsidRPr="00460963" w14:paraId="7DE60CA2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45FAE092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Protein ID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44862884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Name in Figure</w:t>
            </w:r>
          </w:p>
        </w:tc>
        <w:tc>
          <w:tcPr>
            <w:tcW w:w="1985" w:type="dxa"/>
            <w:shd w:val="clear" w:color="auto" w:fill="auto"/>
          </w:tcPr>
          <w:p w14:paraId="69CD23DF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Locus tag</w:t>
            </w:r>
          </w:p>
        </w:tc>
      </w:tr>
      <w:tr w:rsidR="00460963" w:rsidRPr="00460963" w14:paraId="72F7C7FB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7D7F8EE5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QZT34165.1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2199E4B3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ATP synthase ε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7E76418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HUR95_01715 </w:t>
            </w:r>
          </w:p>
        </w:tc>
      </w:tr>
      <w:tr w:rsidR="00460963" w:rsidRPr="00460963" w14:paraId="1B175859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26BFCB2A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QZT34166.1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26E1E227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ATP synthase β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2ADA81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HUR95_01720 </w:t>
            </w:r>
          </w:p>
        </w:tc>
      </w:tr>
      <w:tr w:rsidR="00460963" w:rsidRPr="00460963" w14:paraId="6E181AAB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69A512D0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QZT34167.1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7CCFB683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ATP synthase γ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799B095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HUR95_01725 </w:t>
            </w:r>
          </w:p>
        </w:tc>
      </w:tr>
      <w:tr w:rsidR="00460963" w:rsidRPr="00460963" w14:paraId="69FB5DB6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2DC40A75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QZT34168.1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54D1F98D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ATP synthase α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65F8844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HUR95_01730 </w:t>
            </w:r>
          </w:p>
        </w:tc>
      </w:tr>
      <w:tr w:rsidR="00460963" w:rsidRPr="00460963" w14:paraId="3DEBBE78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6B46F41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QZT34169.1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1C101D6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ATP synthase δ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144F806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HUR95_01735 </w:t>
            </w:r>
          </w:p>
        </w:tc>
      </w:tr>
      <w:tr w:rsidR="00460963" w:rsidRPr="00460963" w14:paraId="38AACD07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17F6D597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QZT34170.1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736CCD15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ATP synthase B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004868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HUR95_01740 </w:t>
            </w:r>
          </w:p>
        </w:tc>
      </w:tr>
      <w:tr w:rsidR="00460963" w:rsidRPr="00460963" w14:paraId="254195E1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0B885E6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QZT34172.1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099AA5F5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ATP synthase A</w:t>
            </w:r>
          </w:p>
        </w:tc>
        <w:tc>
          <w:tcPr>
            <w:tcW w:w="1985" w:type="dxa"/>
            <w:shd w:val="clear" w:color="auto" w:fill="auto"/>
          </w:tcPr>
          <w:p w14:paraId="0CDD6A3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HUR95_01750</w:t>
            </w:r>
          </w:p>
        </w:tc>
      </w:tr>
      <w:tr w:rsidR="00460963" w:rsidRPr="00460963" w14:paraId="74C37671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601FABE8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QZT34154.1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3A12D4F3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Ndh-1 subunit N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F8036C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HUR95_01655 </w:t>
            </w:r>
          </w:p>
        </w:tc>
      </w:tr>
      <w:tr w:rsidR="00460963" w:rsidRPr="00460963" w14:paraId="5BC51BA2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09A3C5C4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QZT34155.1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6AE6954A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Ndh-1 subunit M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AFA34B7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HUR95_01660 </w:t>
            </w:r>
          </w:p>
        </w:tc>
      </w:tr>
      <w:tr w:rsidR="00460963" w:rsidRPr="00460963" w14:paraId="706DF551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33C1F6CF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QZT34156.1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33263EB0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Ndh-1 subunit L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D3FB775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HUR95_01665 </w:t>
            </w:r>
          </w:p>
        </w:tc>
      </w:tr>
      <w:tr w:rsidR="00460963" w:rsidRPr="00460963" w14:paraId="5AAE758D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45692142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QZT34159.1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6D2DAC21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Ndh-1 subunit I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C314EF3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HUR95_01680 </w:t>
            </w:r>
          </w:p>
        </w:tc>
      </w:tr>
      <w:tr w:rsidR="00460963" w:rsidRPr="00460963" w14:paraId="690A86FD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71E081A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QZT34160.1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4CDBD9C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Ndh-1 subunit H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93ECB50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HUR95_01685 </w:t>
            </w:r>
          </w:p>
        </w:tc>
      </w:tr>
      <w:tr w:rsidR="00460963" w:rsidRPr="00460963" w14:paraId="55A136DB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53E98A53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QZT34161.1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416C7A01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Ndh-1 subunit D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99148C2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HUR95_01690 </w:t>
            </w:r>
          </w:p>
        </w:tc>
      </w:tr>
      <w:tr w:rsidR="00460963" w:rsidRPr="00460963" w14:paraId="124650F0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24C25D7B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QZT34162.1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4F88FD11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Ndh-1 subunit C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56156A8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HUR95_01695 </w:t>
            </w:r>
          </w:p>
        </w:tc>
      </w:tr>
      <w:tr w:rsidR="00460963" w:rsidRPr="00460963" w14:paraId="6FEFB42A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2E9BBBDD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QZT34163.1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2782DB5D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Ndh-1 subunit B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2263C9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HUR95_01700 </w:t>
            </w:r>
          </w:p>
        </w:tc>
      </w:tr>
      <w:tr w:rsidR="00460963" w:rsidRPr="00460963" w14:paraId="69922C29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59DF8F64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QZT34164.1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708CCAF6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Ndh-1 subunit A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4534530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HUR95_01705 </w:t>
            </w:r>
          </w:p>
        </w:tc>
      </w:tr>
      <w:tr w:rsidR="00460963" w:rsidRPr="00460963" w14:paraId="6B904FE3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27B5060D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QZT33635.1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66B5DC70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Ndh-2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9D6ABF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HUR95_15605 </w:t>
            </w:r>
          </w:p>
        </w:tc>
      </w:tr>
      <w:tr w:rsidR="00460963" w:rsidRPr="00460963" w14:paraId="11F49600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1A55AEE7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QZT33594.1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64239C12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SdhB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45275BAB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HUR95_15375 </w:t>
            </w:r>
          </w:p>
        </w:tc>
      </w:tr>
      <w:tr w:rsidR="00460963" w:rsidRPr="00460963" w14:paraId="57285B9C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6F2B408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QZT33595.1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6957ACFF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SdhA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63949BC2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HUR95_15380 </w:t>
            </w:r>
          </w:p>
        </w:tc>
      </w:tr>
      <w:tr w:rsidR="00460963" w:rsidRPr="00460963" w14:paraId="4B74EAF0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424F4C5C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QZT32729.1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77313358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Cyt</w:t>
            </w:r>
            <w:proofErr w:type="spellEnd"/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 b6c1 </w:t>
            </w: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FeS</w:t>
            </w:r>
            <w:proofErr w:type="spellEnd"/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 cluster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58BB393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HUR95_10060 </w:t>
            </w:r>
          </w:p>
        </w:tc>
      </w:tr>
      <w:tr w:rsidR="00460963" w:rsidRPr="00460963" w14:paraId="2995249A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5F65DF8A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QZT32730.1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623D8F9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Cyt</w:t>
            </w:r>
            <w:proofErr w:type="spellEnd"/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 b6c1 cytochrome b6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EBB7C1C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HUR95_10065 </w:t>
            </w:r>
          </w:p>
        </w:tc>
      </w:tr>
      <w:tr w:rsidR="00460963" w:rsidRPr="00460963" w14:paraId="366FC458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59A9E71C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QZT32948.1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6613FBBB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Cyt</w:t>
            </w:r>
            <w:proofErr w:type="spellEnd"/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 aa-3 subunit I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7AD179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HUR95_11455 </w:t>
            </w:r>
          </w:p>
        </w:tc>
      </w:tr>
      <w:tr w:rsidR="00460963" w:rsidRPr="00460963" w14:paraId="5F28A102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78CC236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QZT32949.1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4A782D65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Cyt</w:t>
            </w:r>
            <w:proofErr w:type="spellEnd"/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 aa-3 subunit II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F724E0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HUR95_11460 </w:t>
            </w:r>
          </w:p>
        </w:tc>
      </w:tr>
      <w:tr w:rsidR="00460963" w:rsidRPr="00460963" w14:paraId="3A1B81AC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34B5BFBD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QZT33452.1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3B8992B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Cyt</w:t>
            </w:r>
            <w:proofErr w:type="spellEnd"/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 ba-3 subunit I</w:t>
            </w:r>
          </w:p>
        </w:tc>
        <w:tc>
          <w:tcPr>
            <w:tcW w:w="1985" w:type="dxa"/>
            <w:shd w:val="clear" w:color="auto" w:fill="auto"/>
          </w:tcPr>
          <w:p w14:paraId="27CE8D9D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HUR95_14550</w:t>
            </w:r>
          </w:p>
        </w:tc>
      </w:tr>
      <w:tr w:rsidR="00460963" w:rsidRPr="00460963" w14:paraId="7AD65262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4C4A81D2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QZT33422.1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61632310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Mrp</w:t>
            </w:r>
            <w:proofErr w:type="spellEnd"/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 subunit A</w:t>
            </w:r>
          </w:p>
        </w:tc>
        <w:tc>
          <w:tcPr>
            <w:tcW w:w="1985" w:type="dxa"/>
            <w:shd w:val="clear" w:color="auto" w:fill="auto"/>
          </w:tcPr>
          <w:p w14:paraId="33450B7C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</w:rPr>
              <w:t>HUR95_14385</w:t>
            </w:r>
          </w:p>
        </w:tc>
      </w:tr>
      <w:tr w:rsidR="00460963" w:rsidRPr="00460963" w14:paraId="132C03A5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0B237E9A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QZT33805.1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6BBC9D4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Iron transporter</w:t>
            </w:r>
          </w:p>
        </w:tc>
        <w:tc>
          <w:tcPr>
            <w:tcW w:w="1985" w:type="dxa"/>
            <w:shd w:val="clear" w:color="auto" w:fill="auto"/>
          </w:tcPr>
          <w:p w14:paraId="3DEB9E7D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</w:rPr>
              <w:t>HUR95_16600</w:t>
            </w:r>
          </w:p>
        </w:tc>
      </w:tr>
      <w:tr w:rsidR="00460963" w:rsidRPr="00460963" w14:paraId="67B16746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1A948971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QZT35027.1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4F6965E1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Cop subunit A</w:t>
            </w:r>
          </w:p>
        </w:tc>
        <w:tc>
          <w:tcPr>
            <w:tcW w:w="1985" w:type="dxa"/>
            <w:shd w:val="clear" w:color="auto" w:fill="auto"/>
          </w:tcPr>
          <w:p w14:paraId="19763A90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</w:rPr>
              <w:t>HUR95_07300</w:t>
            </w:r>
          </w:p>
        </w:tc>
      </w:tr>
      <w:tr w:rsidR="00460963" w:rsidRPr="00460963" w14:paraId="5A965108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1BD3D4C7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QZT33612.1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2896A2CC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Sulfate substrate binding</w:t>
            </w:r>
          </w:p>
        </w:tc>
        <w:tc>
          <w:tcPr>
            <w:tcW w:w="1985" w:type="dxa"/>
            <w:shd w:val="clear" w:color="auto" w:fill="auto"/>
          </w:tcPr>
          <w:p w14:paraId="35F0310B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</w:rPr>
              <w:t>HUR95_15470</w:t>
            </w:r>
          </w:p>
        </w:tc>
      </w:tr>
      <w:tr w:rsidR="00460963" w:rsidRPr="00460963" w14:paraId="16E24013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53AF782C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QZT34641.1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0DA208C7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Sao subunit C</w:t>
            </w:r>
          </w:p>
        </w:tc>
        <w:tc>
          <w:tcPr>
            <w:tcW w:w="1985" w:type="dxa"/>
            <w:shd w:val="clear" w:color="auto" w:fill="auto"/>
          </w:tcPr>
          <w:p w14:paraId="1C377723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</w:rPr>
              <w:t>HUR95_04675</w:t>
            </w:r>
          </w:p>
        </w:tc>
      </w:tr>
      <w:tr w:rsidR="00460963" w:rsidRPr="00460963" w14:paraId="2C1DF730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00C0E1E3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QZT34643.1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02A671CC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Sao subunit X</w:t>
            </w:r>
          </w:p>
        </w:tc>
        <w:tc>
          <w:tcPr>
            <w:tcW w:w="1985" w:type="dxa"/>
            <w:shd w:val="clear" w:color="auto" w:fill="auto"/>
          </w:tcPr>
          <w:p w14:paraId="466858A8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</w:rPr>
              <w:t>HUR95_04685</w:t>
            </w:r>
          </w:p>
        </w:tc>
      </w:tr>
      <w:tr w:rsidR="00460963" w:rsidRPr="00460963" w14:paraId="0F78DA5D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14A0C8FA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QZT33744.1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774ADEC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Mnt</w:t>
            </w:r>
            <w:proofErr w:type="spellEnd"/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 subunit B</w:t>
            </w:r>
          </w:p>
        </w:tc>
        <w:tc>
          <w:tcPr>
            <w:tcW w:w="1985" w:type="dxa"/>
            <w:shd w:val="clear" w:color="auto" w:fill="auto"/>
          </w:tcPr>
          <w:p w14:paraId="0E5289B0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</w:rPr>
              <w:t>HUR95_16235</w:t>
            </w:r>
          </w:p>
        </w:tc>
      </w:tr>
      <w:tr w:rsidR="00460963" w:rsidRPr="00460963" w14:paraId="3FA582FB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2A5DE8D2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QZT33746.1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6FB97B41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Mnt</w:t>
            </w:r>
            <w:proofErr w:type="spellEnd"/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 subunit D</w:t>
            </w:r>
          </w:p>
        </w:tc>
        <w:tc>
          <w:tcPr>
            <w:tcW w:w="1985" w:type="dxa"/>
            <w:shd w:val="clear" w:color="auto" w:fill="auto"/>
          </w:tcPr>
          <w:p w14:paraId="39BA6AF1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</w:rPr>
              <w:t>HUR95_16245</w:t>
            </w:r>
          </w:p>
        </w:tc>
      </w:tr>
      <w:tr w:rsidR="00460963" w:rsidRPr="00460963" w14:paraId="392F5492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4B9EB272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QZT35147.1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2230A265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Trk subunit A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ED2D482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HUR95_08000</w:t>
            </w:r>
          </w:p>
        </w:tc>
      </w:tr>
      <w:tr w:rsidR="00460963" w:rsidRPr="00460963" w14:paraId="11BF6271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67CC3A9B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QZT33333.1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20F136C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Trk subunit A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0CF74C4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HUR95_13795</w:t>
            </w:r>
          </w:p>
        </w:tc>
      </w:tr>
      <w:tr w:rsidR="00460963" w:rsidRPr="00460963" w14:paraId="281E241E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7630375A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QZT34989.1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32C881A4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Phn</w:t>
            </w:r>
            <w:proofErr w:type="spellEnd"/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 subunit D</w:t>
            </w:r>
          </w:p>
        </w:tc>
        <w:tc>
          <w:tcPr>
            <w:tcW w:w="1985" w:type="dxa"/>
            <w:shd w:val="clear" w:color="auto" w:fill="auto"/>
          </w:tcPr>
          <w:p w14:paraId="5122337D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</w:rPr>
              <w:t>HUR95_07070</w:t>
            </w:r>
          </w:p>
        </w:tc>
      </w:tr>
      <w:tr w:rsidR="00460963" w:rsidRPr="00460963" w14:paraId="5E3F74B1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275C6758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QZT34990.1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1EF569A5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Phn</w:t>
            </w:r>
            <w:proofErr w:type="spellEnd"/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 subunit C</w:t>
            </w:r>
          </w:p>
        </w:tc>
        <w:tc>
          <w:tcPr>
            <w:tcW w:w="1985" w:type="dxa"/>
            <w:shd w:val="clear" w:color="auto" w:fill="auto"/>
          </w:tcPr>
          <w:p w14:paraId="47E2AE24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</w:rPr>
              <w:t>HUR95_07080</w:t>
            </w:r>
          </w:p>
        </w:tc>
      </w:tr>
      <w:tr w:rsidR="00460963" w:rsidRPr="00460963" w14:paraId="212AC973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436C8D6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QZT33306.1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367A9AB7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Phn</w:t>
            </w:r>
            <w:proofErr w:type="spellEnd"/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 subunit C</w:t>
            </w:r>
          </w:p>
        </w:tc>
        <w:tc>
          <w:tcPr>
            <w:tcW w:w="1985" w:type="dxa"/>
            <w:shd w:val="clear" w:color="auto" w:fill="auto"/>
          </w:tcPr>
          <w:p w14:paraId="188E2B96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</w:rPr>
              <w:t>HUR95_13595</w:t>
            </w:r>
          </w:p>
        </w:tc>
      </w:tr>
      <w:tr w:rsidR="00460963" w:rsidRPr="00460963" w14:paraId="1035EE71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017EFDD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QZT35462.1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7FDD22BA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Phn</w:t>
            </w:r>
            <w:proofErr w:type="spellEnd"/>
            <w:r w:rsidRPr="00460963">
              <w:rPr>
                <w:rFonts w:ascii="Times New Roman" w:eastAsia="Calibri" w:hAnsi="Times New Roman" w:cs="Times New Roman"/>
                <w:color w:val="000000"/>
              </w:rPr>
              <w:t xml:space="preserve"> substrate binding</w:t>
            </w:r>
          </w:p>
        </w:tc>
        <w:tc>
          <w:tcPr>
            <w:tcW w:w="1985" w:type="dxa"/>
            <w:shd w:val="clear" w:color="auto" w:fill="auto"/>
          </w:tcPr>
          <w:p w14:paraId="618A42EA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</w:rPr>
              <w:t>HUR95_13600</w:t>
            </w:r>
          </w:p>
        </w:tc>
      </w:tr>
      <w:tr w:rsidR="00460963" w:rsidRPr="00460963" w14:paraId="3B732FE0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000919F4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QZT33012.1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78356241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Flagellum subunit Y</w:t>
            </w:r>
          </w:p>
        </w:tc>
        <w:tc>
          <w:tcPr>
            <w:tcW w:w="1985" w:type="dxa"/>
            <w:shd w:val="clear" w:color="auto" w:fill="auto"/>
          </w:tcPr>
          <w:p w14:paraId="330755CC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</w:rPr>
              <w:t>HUR95_11810</w:t>
            </w:r>
          </w:p>
        </w:tc>
      </w:tr>
      <w:tr w:rsidR="00460963" w:rsidRPr="00460963" w14:paraId="61857AEA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4D008A21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QZT33014.1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28BFE117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Flagellum subunit D</w:t>
            </w:r>
          </w:p>
        </w:tc>
        <w:tc>
          <w:tcPr>
            <w:tcW w:w="1985" w:type="dxa"/>
            <w:shd w:val="clear" w:color="auto" w:fill="auto"/>
          </w:tcPr>
          <w:p w14:paraId="642B05AC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</w:rPr>
              <w:t>HUR95_11820</w:t>
            </w:r>
          </w:p>
        </w:tc>
      </w:tr>
      <w:tr w:rsidR="00460963" w:rsidRPr="00460963" w14:paraId="5B29E7B1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bottom"/>
          </w:tcPr>
          <w:p w14:paraId="58C93E45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QZT33021.1</w:t>
            </w:r>
          </w:p>
        </w:tc>
        <w:tc>
          <w:tcPr>
            <w:tcW w:w="2605" w:type="dxa"/>
            <w:shd w:val="clear" w:color="auto" w:fill="auto"/>
            <w:vAlign w:val="bottom"/>
          </w:tcPr>
          <w:p w14:paraId="3B66C00C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Flagellum subunit G</w:t>
            </w:r>
          </w:p>
        </w:tc>
        <w:tc>
          <w:tcPr>
            <w:tcW w:w="1985" w:type="dxa"/>
            <w:shd w:val="clear" w:color="auto" w:fill="auto"/>
          </w:tcPr>
          <w:p w14:paraId="6FE2642C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</w:rPr>
              <w:t>HUR95_11860</w:t>
            </w:r>
          </w:p>
        </w:tc>
      </w:tr>
      <w:tr w:rsidR="00460963" w:rsidRPr="00460963" w14:paraId="7F3507B0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71AA46F1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QZT32678.1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2C707CF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Mce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7277F66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HUR95_09775</w:t>
            </w:r>
          </w:p>
        </w:tc>
      </w:tr>
      <w:tr w:rsidR="00460963" w:rsidRPr="00460963" w14:paraId="2A562FC7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3074DA5B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QZT32677.1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0DE9B2CC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Mce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597CF880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HUR95_09770</w:t>
            </w:r>
          </w:p>
        </w:tc>
      </w:tr>
      <w:tr w:rsidR="00460963" w:rsidRPr="00460963" w14:paraId="0B7504BE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4773A0A3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QZT35387.1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39E661A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MmdA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563D5F11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HUR95_09780</w:t>
            </w:r>
          </w:p>
        </w:tc>
      </w:tr>
      <w:tr w:rsidR="00460963" w:rsidRPr="00460963" w14:paraId="1B7E6DA5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2343A047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QZT34097.1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7468808F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Msdh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6818D3B3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HUR95_01280</w:t>
            </w:r>
          </w:p>
        </w:tc>
      </w:tr>
      <w:tr w:rsidR="00460963" w:rsidRPr="00460963" w14:paraId="09167FE1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5C4110D5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QZT34941.1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472F9691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AccD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07B014B1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HUR95_06775</w:t>
            </w:r>
          </w:p>
        </w:tc>
      </w:tr>
      <w:tr w:rsidR="00460963" w:rsidRPr="00460963" w14:paraId="16439D7F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3F348958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QZT35340.1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5D85CE0F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AccA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713EEE2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HUR95_06780</w:t>
            </w:r>
          </w:p>
        </w:tc>
      </w:tr>
      <w:tr w:rsidR="00460963" w:rsidRPr="00460963" w14:paraId="1FF4391F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3AFDDBB1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QZT35382.1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37E1E4E0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AccB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70163B77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HUR95_09605</w:t>
            </w:r>
          </w:p>
        </w:tc>
      </w:tr>
      <w:tr w:rsidR="00460963" w:rsidRPr="00460963" w14:paraId="42CF8D6B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77401B85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lastRenderedPageBreak/>
              <w:t>QZT32651.1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716CC58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AccC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74E2FB4C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HUR95_09610</w:t>
            </w:r>
          </w:p>
        </w:tc>
      </w:tr>
      <w:tr w:rsidR="00460963" w:rsidRPr="00460963" w14:paraId="17EC9826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2F71109F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QZT35103.1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1F9779E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Pta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112D74F5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HUR95_07730</w:t>
            </w:r>
          </w:p>
        </w:tc>
      </w:tr>
      <w:tr w:rsidR="00460963" w:rsidRPr="00460963" w14:paraId="41B4A4B7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6A95A5AC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QZT35102.1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0A01965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Ack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9F18628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HUR95_07725</w:t>
            </w:r>
          </w:p>
        </w:tc>
      </w:tr>
      <w:tr w:rsidR="00460963" w:rsidRPr="00460963" w14:paraId="469AF3B3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4A1FE7C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QZT34540.1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450CB62F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Acs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3B5F594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HUR95_03960</w:t>
            </w:r>
          </w:p>
        </w:tc>
      </w:tr>
      <w:tr w:rsidR="00460963" w:rsidRPr="00460963" w14:paraId="54F1FA5D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4183F810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QZT34238.1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7ED05613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Acs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983160F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HUR95_02150</w:t>
            </w:r>
          </w:p>
        </w:tc>
      </w:tr>
      <w:tr w:rsidR="00460963" w:rsidRPr="00460963" w14:paraId="61135BAE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621EB57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QZT33266.1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4F24CE2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AcsA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520691C7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HUR95_13350</w:t>
            </w:r>
          </w:p>
        </w:tc>
      </w:tr>
      <w:tr w:rsidR="00460963" w:rsidRPr="00460963" w14:paraId="70995C00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3EB0FAA0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QZT34201.1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268BB2DB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Acat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58593028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HUR95_01925</w:t>
            </w:r>
          </w:p>
        </w:tc>
      </w:tr>
      <w:tr w:rsidR="00460963" w:rsidRPr="00460963" w14:paraId="259307EF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466B544D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QZT34176.1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1E8DE1D2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Acat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441CF295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HUR95_01770</w:t>
            </w:r>
          </w:p>
        </w:tc>
      </w:tr>
      <w:tr w:rsidR="00460963" w:rsidRPr="00460963" w14:paraId="2C9B9F5A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14A43272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QZT34200.1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7A2FF1FD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Hbd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1C63680E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HUR95_01920</w:t>
            </w:r>
          </w:p>
        </w:tc>
      </w:tr>
      <w:tr w:rsidR="00460963" w:rsidRPr="00460963" w14:paraId="3897AD65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693D175C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QZT33841.1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67B61231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Hadh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4EE4BF9C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HUR95_16815</w:t>
            </w:r>
          </w:p>
        </w:tc>
      </w:tr>
      <w:tr w:rsidR="00460963" w:rsidRPr="00460963" w14:paraId="0B8DF5E1" w14:textId="77777777" w:rsidTr="00174C06">
        <w:trPr>
          <w:trHeight w:val="227"/>
        </w:trPr>
        <w:tc>
          <w:tcPr>
            <w:tcW w:w="1359" w:type="dxa"/>
            <w:shd w:val="clear" w:color="auto" w:fill="auto"/>
            <w:vAlign w:val="center"/>
          </w:tcPr>
          <w:p w14:paraId="2DE3E0D9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QZT35250.1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1A35A08D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60963">
              <w:rPr>
                <w:rFonts w:ascii="Times New Roman" w:eastAsia="Calibri" w:hAnsi="Times New Roman" w:cs="Times New Roman"/>
                <w:color w:val="000000"/>
              </w:rPr>
              <w:t>Bhbd</w:t>
            </w:r>
            <w:proofErr w:type="spellEnd"/>
          </w:p>
        </w:tc>
        <w:tc>
          <w:tcPr>
            <w:tcW w:w="1985" w:type="dxa"/>
            <w:shd w:val="clear" w:color="auto" w:fill="auto"/>
            <w:vAlign w:val="bottom"/>
          </w:tcPr>
          <w:p w14:paraId="165D1226" w14:textId="77777777" w:rsidR="00460963" w:rsidRPr="00460963" w:rsidRDefault="00460963" w:rsidP="004609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460963">
              <w:rPr>
                <w:rFonts w:ascii="Times New Roman" w:eastAsia="Calibri" w:hAnsi="Times New Roman" w:cs="Times New Roman"/>
                <w:color w:val="000000"/>
              </w:rPr>
              <w:t>HUR95_01910</w:t>
            </w:r>
          </w:p>
        </w:tc>
      </w:tr>
    </w:tbl>
    <w:p w14:paraId="601E6372" w14:textId="77777777" w:rsidR="00460963" w:rsidRPr="00460963" w:rsidRDefault="00460963" w:rsidP="00460963">
      <w:pPr>
        <w:spacing w:line="36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C4BC046" w14:textId="77777777" w:rsidR="00937CDB" w:rsidRDefault="00937CDB"/>
    <w:sectPr w:rsidR="00937CDB" w:rsidSect="009B659B">
      <w:pgSz w:w="11906" w:h="16838" w:code="9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63"/>
    <w:rsid w:val="00460963"/>
    <w:rsid w:val="0093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0AE84"/>
  <w15:chartTrackingRefBased/>
  <w15:docId w15:val="{CEBE92B1-633A-4F36-8F32-C2365C38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09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460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908</Words>
  <Characters>4996</Characters>
  <Application>Microsoft Office Word</Application>
  <DocSecurity>0</DocSecurity>
  <Lines>41</Lines>
  <Paragraphs>11</Paragraphs>
  <ScaleCrop>false</ScaleCrop>
  <Company>TU Delft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de Jong</dc:creator>
  <cp:keywords/>
  <dc:description/>
  <cp:lastModifiedBy>Sam de Jong</cp:lastModifiedBy>
  <cp:revision>1</cp:revision>
  <dcterms:created xsi:type="dcterms:W3CDTF">2024-01-09T10:45:00Z</dcterms:created>
  <dcterms:modified xsi:type="dcterms:W3CDTF">2024-01-09T10:45:00Z</dcterms:modified>
</cp:coreProperties>
</file>