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C65" w:rsidRDefault="00E70C65" w:rsidP="00E70C65">
      <w:pPr>
        <w:pStyle w:val="Heading1"/>
        <w:jc w:val="left"/>
      </w:pPr>
      <w:r>
        <w:t>Identification of</w:t>
      </w:r>
      <w:r w:rsidRPr="00884A3E">
        <w:t xml:space="preserve"> oxygen-independent pathways for</w:t>
      </w:r>
      <w:r>
        <w:t xml:space="preserve"> pyridine-nucleotide and Coenzyme-A synthesis in anaerobic fungi by expression of candidate genes in yeast</w:t>
      </w:r>
    </w:p>
    <w:p w:rsidR="00E70C65" w:rsidRPr="00AE11F9" w:rsidRDefault="00E70C65" w:rsidP="00E70C65"/>
    <w:p w:rsidR="00E70C65" w:rsidRPr="00884A3E" w:rsidRDefault="00E70C65" w:rsidP="00E70C65">
      <w:pPr>
        <w:jc w:val="left"/>
      </w:pPr>
      <w:r w:rsidRPr="00884A3E">
        <w:t>Thomas Perli</w:t>
      </w:r>
      <w:r>
        <w:rPr>
          <w:rFonts w:cstheme="minorHAnsi"/>
        </w:rPr>
        <w:t xml:space="preserve">, </w:t>
      </w:r>
      <w:r w:rsidRPr="00884A3E">
        <w:t xml:space="preserve">Aurin M. Vos, Jonna Bouwknegt, Wijb J. C. Dekker, Sanne J. Wiersma, </w:t>
      </w:r>
      <w:proofErr w:type="spellStart"/>
      <w:r w:rsidRPr="00884A3E">
        <w:t>Raúl</w:t>
      </w:r>
      <w:proofErr w:type="spellEnd"/>
      <w:r w:rsidRPr="00884A3E">
        <w:t xml:space="preserve"> A. Ortiz-Merino</w:t>
      </w:r>
      <w:r>
        <w:t>,</w:t>
      </w:r>
      <w:r w:rsidRPr="00884A3E">
        <w:t xml:space="preserve"> </w:t>
      </w:r>
      <w:r w:rsidRPr="00884A3E">
        <w:t>Christiaan Mooiman, Jean-Marc Daran, Jack T. Pronk</w:t>
      </w:r>
      <w:r w:rsidRPr="00884A3E">
        <w:rPr>
          <w:vertAlign w:val="superscript"/>
        </w:rPr>
        <w:t>*</w:t>
      </w:r>
      <w:r w:rsidRPr="00884A3E">
        <w:t xml:space="preserve"> </w:t>
      </w:r>
    </w:p>
    <w:p w:rsidR="00E70C65" w:rsidRPr="00E70C65" w:rsidRDefault="00E70C65" w:rsidP="00E70C65">
      <w:pPr>
        <w:jc w:val="left"/>
      </w:pPr>
      <w:r w:rsidRPr="00884A3E">
        <w:t xml:space="preserve">Department of Biotechnology, Delft University of Technology, Van der </w:t>
      </w:r>
      <w:proofErr w:type="spellStart"/>
      <w:r w:rsidRPr="00884A3E">
        <w:t>Maasw</w:t>
      </w:r>
      <w:r>
        <w:t>eg</w:t>
      </w:r>
      <w:proofErr w:type="spellEnd"/>
      <w:r>
        <w:t xml:space="preserve"> 2629 Delft, The Netherlands.</w:t>
      </w:r>
    </w:p>
    <w:p w:rsidR="00E70C65" w:rsidRDefault="00E70C65" w:rsidP="00FF1B26">
      <w:pPr>
        <w:rPr>
          <w:b/>
          <w:bCs/>
        </w:rPr>
      </w:pPr>
    </w:p>
    <w:p w:rsidR="00FC4D86" w:rsidRDefault="00D11A8F" w:rsidP="00FF1B26">
      <w:r w:rsidRPr="00FF1B26">
        <w:rPr>
          <w:b/>
          <w:bCs/>
        </w:rPr>
        <w:t xml:space="preserve">File </w:t>
      </w:r>
      <w:r w:rsidRPr="00FF1B26">
        <w:rPr>
          <w:b/>
          <w:bCs/>
        </w:rPr>
        <w:t>Fig. 3</w:t>
      </w:r>
      <w:r w:rsidRPr="00FF1B26">
        <w:rPr>
          <w:b/>
          <w:bCs/>
        </w:rPr>
        <w:t>_raw.xls</w:t>
      </w:r>
      <w:r w:rsidRPr="00FF1B26">
        <w:rPr>
          <w:bCs/>
        </w:rPr>
        <w:t xml:space="preserve"> </w:t>
      </w:r>
      <w:r w:rsidRPr="00FF1B26">
        <w:rPr>
          <w:bCs/>
        </w:rPr>
        <w:t xml:space="preserve">: </w:t>
      </w:r>
      <w:r w:rsidRPr="00FF1B26">
        <w:rPr>
          <w:bCs/>
        </w:rPr>
        <w:t>Calculated OD660nm of a</w:t>
      </w:r>
      <w:r w:rsidRPr="00FF1B26">
        <w:rPr>
          <w:bCs/>
        </w:rPr>
        <w:t xml:space="preserve">naerobic growth of </w:t>
      </w:r>
      <w:r w:rsidRPr="00FF1B26">
        <w:rPr>
          <w:bCs/>
          <w:i/>
        </w:rPr>
        <w:t>S. cerevisiae</w:t>
      </w:r>
      <w:r w:rsidRPr="00FF1B26">
        <w:rPr>
          <w:bCs/>
        </w:rPr>
        <w:t xml:space="preserve"> strains dependent or independent on supplementation of nicotinic acid (NA) or pantothenic acid (PA) in SMD medium containing Tween 80 and </w:t>
      </w:r>
      <w:proofErr w:type="spellStart"/>
      <w:r w:rsidRPr="00FF1B26">
        <w:rPr>
          <w:bCs/>
        </w:rPr>
        <w:t>ergosterol</w:t>
      </w:r>
      <w:proofErr w:type="spellEnd"/>
      <w:r w:rsidRPr="00FF1B26">
        <w:rPr>
          <w:bCs/>
        </w:rPr>
        <w:t>.</w:t>
      </w:r>
      <w:r w:rsidRPr="00FF1B26">
        <w:t xml:space="preserve"> </w:t>
      </w:r>
      <w:r w:rsidR="00FC4D86" w:rsidRPr="00FF1B26">
        <w:t xml:space="preserve">Worksheet “Panels A-B-C” </w:t>
      </w:r>
      <w:r w:rsidRPr="00FF1B26">
        <w:t>Strains IMX585 (A), IMX2301 (</w:t>
      </w:r>
      <w:r w:rsidRPr="00FF1B26">
        <w:rPr>
          <w:i/>
        </w:rPr>
        <w:t>bna2</w:t>
      </w:r>
      <w:r w:rsidRPr="00FF1B26">
        <w:t xml:space="preserve">Δ </w:t>
      </w:r>
      <w:proofErr w:type="spellStart"/>
      <w:r w:rsidRPr="00FF1B26">
        <w:rPr>
          <w:i/>
        </w:rPr>
        <w:t>PfnadB</w:t>
      </w:r>
      <w:proofErr w:type="spellEnd"/>
      <w:r w:rsidRPr="00FF1B26">
        <w:rPr>
          <w:i/>
        </w:rPr>
        <w:t xml:space="preserve"> </w:t>
      </w:r>
      <w:proofErr w:type="spellStart"/>
      <w:r w:rsidRPr="00FF1B26">
        <w:rPr>
          <w:i/>
        </w:rPr>
        <w:t>PfnadA</w:t>
      </w:r>
      <w:proofErr w:type="spellEnd"/>
      <w:r w:rsidRPr="00FF1B26">
        <w:t>) (B), and IMX2302 (</w:t>
      </w:r>
      <w:r w:rsidRPr="00FF1B26">
        <w:rPr>
          <w:i/>
        </w:rPr>
        <w:t>bna2</w:t>
      </w:r>
      <w:r w:rsidRPr="00FF1B26">
        <w:t xml:space="preserve">Δ </w:t>
      </w:r>
      <w:proofErr w:type="spellStart"/>
      <w:r w:rsidRPr="00FF1B26">
        <w:rPr>
          <w:i/>
        </w:rPr>
        <w:t>AtNADB</w:t>
      </w:r>
      <w:proofErr w:type="spellEnd"/>
      <w:r w:rsidRPr="00FF1B26">
        <w:rPr>
          <w:i/>
        </w:rPr>
        <w:t xml:space="preserve"> </w:t>
      </w:r>
      <w:proofErr w:type="spellStart"/>
      <w:r w:rsidRPr="00FF1B26">
        <w:rPr>
          <w:i/>
        </w:rPr>
        <w:t>AtNADA</w:t>
      </w:r>
      <w:proofErr w:type="spellEnd"/>
      <w:r w:rsidRPr="00FF1B26">
        <w:t>) (C) transferred to medium with 2 % glucose</w:t>
      </w:r>
      <w:r w:rsidRPr="00FF1B26">
        <w:t xml:space="preserve"> with (+NA1) or without (-NA1)</w:t>
      </w:r>
      <w:r w:rsidRPr="00FF1B26">
        <w:t xml:space="preserve"> nicotinate after a carry-over phase</w:t>
      </w:r>
      <w:r w:rsidRPr="00FF1B26">
        <w:t xml:space="preserve"> (CO)</w:t>
      </w:r>
      <w:r w:rsidRPr="00FF1B26">
        <w:t xml:space="preserve"> in </w:t>
      </w:r>
      <w:proofErr w:type="spellStart"/>
      <w:r w:rsidRPr="00FF1B26">
        <w:t>SMD∆nic</w:t>
      </w:r>
      <w:proofErr w:type="spellEnd"/>
      <w:r w:rsidRPr="00FF1B26">
        <w:t xml:space="preserve"> containing 4 % glucose (</w:t>
      </w:r>
      <w:r w:rsidRPr="00FF1B26">
        <w:t>displayed</w:t>
      </w:r>
      <w:r w:rsidRPr="00FF1B26">
        <w:t xml:space="preserve"> in </w:t>
      </w:r>
      <w:r w:rsidRPr="00FF1B26">
        <w:t xml:space="preserve">a </w:t>
      </w:r>
      <w:r w:rsidRPr="00FF1B26">
        <w:t>grey box</w:t>
      </w:r>
      <w:r w:rsidRPr="00FF1B26">
        <w:t xml:space="preserve"> in Fig. 3)</w:t>
      </w:r>
      <w:r w:rsidRPr="00FF1B26">
        <w:t xml:space="preserve">). </w:t>
      </w:r>
      <w:r w:rsidR="00FC4D86" w:rsidRPr="00FF1B26">
        <w:t>Worksheet “Panel D-E-</w:t>
      </w:r>
      <w:proofErr w:type="spellStart"/>
      <w:r w:rsidR="00FC4D86" w:rsidRPr="00FF1B26">
        <w:t>F”</w:t>
      </w:r>
      <w:r w:rsidRPr="00FF1B26">
        <w:t>Strains</w:t>
      </w:r>
      <w:proofErr w:type="spellEnd"/>
      <w:r w:rsidRPr="00FF1B26">
        <w:t xml:space="preserve"> IMX585 (D), IMX2300-1 (</w:t>
      </w:r>
      <w:r w:rsidRPr="00FF1B26">
        <w:rPr>
          <w:i/>
        </w:rPr>
        <w:t>fms1</w:t>
      </w:r>
      <w:r w:rsidRPr="00FF1B26">
        <w:t xml:space="preserve"> </w:t>
      </w:r>
      <w:proofErr w:type="spellStart"/>
      <w:r w:rsidRPr="00FF1B26">
        <w:rPr>
          <w:i/>
        </w:rPr>
        <w:t>NcadcA</w:t>
      </w:r>
      <w:proofErr w:type="spellEnd"/>
      <w:r w:rsidRPr="00FF1B26">
        <w:t>) (E), and IMX2305 (</w:t>
      </w:r>
      <w:r w:rsidRPr="00FF1B26">
        <w:rPr>
          <w:i/>
        </w:rPr>
        <w:t>fms1</w:t>
      </w:r>
      <w:r w:rsidRPr="00FF1B26">
        <w:t xml:space="preserve"> </w:t>
      </w:r>
      <w:proofErr w:type="spellStart"/>
      <w:r w:rsidRPr="00FF1B26">
        <w:rPr>
          <w:i/>
        </w:rPr>
        <w:t>TcPAND</w:t>
      </w:r>
      <w:proofErr w:type="spellEnd"/>
      <w:r w:rsidRPr="00FF1B26">
        <w:t>)(F)</w:t>
      </w:r>
      <w:r w:rsidRPr="00FF1B26">
        <w:t xml:space="preserve"> transferred to medium with (+PA)</w:t>
      </w:r>
      <w:r w:rsidRPr="00FF1B26">
        <w:t xml:space="preserve"> or without (</w:t>
      </w:r>
      <w:r w:rsidRPr="00FF1B26">
        <w:t>-PA)</w:t>
      </w:r>
      <w:r w:rsidRPr="00FF1B26">
        <w:t xml:space="preserve"> </w:t>
      </w:r>
      <w:proofErr w:type="spellStart"/>
      <w:r w:rsidRPr="00FF1B26">
        <w:t>pantothenate</w:t>
      </w:r>
      <w:proofErr w:type="spellEnd"/>
      <w:r w:rsidRPr="00FF1B26">
        <w:t xml:space="preserve"> after a carry-over phase</w:t>
      </w:r>
      <w:r w:rsidRPr="00FF1B26">
        <w:t xml:space="preserve"> (CO)</w:t>
      </w:r>
      <w:r w:rsidRPr="00FF1B26">
        <w:t xml:space="preserve"> in </w:t>
      </w:r>
      <w:proofErr w:type="spellStart"/>
      <w:r w:rsidRPr="00FF1B26">
        <w:t>SMD∆pan</w:t>
      </w:r>
      <w:proofErr w:type="spellEnd"/>
      <w:r w:rsidRPr="00FF1B26">
        <w:t xml:space="preserve"> containing 4 % glucose (</w:t>
      </w:r>
      <w:r w:rsidRPr="00FF1B26">
        <w:t>displayed</w:t>
      </w:r>
      <w:r w:rsidRPr="00FF1B26">
        <w:t xml:space="preserve"> in </w:t>
      </w:r>
      <w:r w:rsidRPr="00FF1B26">
        <w:t xml:space="preserve">a </w:t>
      </w:r>
      <w:r w:rsidRPr="00FF1B26">
        <w:t>grey box</w:t>
      </w:r>
      <w:r w:rsidRPr="00FF1B26">
        <w:t xml:space="preserve"> in Fig. 3</w:t>
      </w:r>
      <w:r w:rsidRPr="00FF1B26">
        <w:t xml:space="preserve">). Anaerobic condition in the chamber were maintained using a palladium catalyst and a 5 % hydrogen concentration. </w:t>
      </w:r>
    </w:p>
    <w:p w:rsidR="00E70C65" w:rsidRPr="00DD4321" w:rsidRDefault="00E70C65" w:rsidP="00E70C65">
      <w:pPr>
        <w:pStyle w:val="Heading3"/>
        <w:jc w:val="left"/>
      </w:pPr>
      <w:r w:rsidRPr="00DD4321">
        <w:t>Anaerobic growth studies in shake flasks</w:t>
      </w:r>
    </w:p>
    <w:p w:rsidR="00E70C65" w:rsidRDefault="00E70C65" w:rsidP="00FF1B26">
      <w:r w:rsidRPr="00DD4321">
        <w:t xml:space="preserve">Anaerobic shake-flask based experiments were performed in Lab </w:t>
      </w:r>
      <w:proofErr w:type="spellStart"/>
      <w:r w:rsidRPr="00DD4321">
        <w:t>Bactron</w:t>
      </w:r>
      <w:proofErr w:type="spellEnd"/>
      <w:r w:rsidRPr="00DD4321">
        <w:t xml:space="preserve"> 300 anaerobic workstation (Sheldon Manufacturing Inc., Cornelius, OR) </w:t>
      </w:r>
      <w:r>
        <w:t xml:space="preserve">containing an </w:t>
      </w:r>
      <w:proofErr w:type="spellStart"/>
      <w:r>
        <w:t>athmosphere</w:t>
      </w:r>
      <w:proofErr w:type="spellEnd"/>
      <w:r>
        <w:t xml:space="preserve"> of</w:t>
      </w:r>
      <w:r w:rsidRPr="00DD4321">
        <w:t xml:space="preserve"> 85</w:t>
      </w:r>
      <w:r>
        <w:t xml:space="preserve"> </w:t>
      </w:r>
      <w:r w:rsidRPr="00DD4321">
        <w:t xml:space="preserve">% </w:t>
      </w:r>
      <w:r w:rsidRPr="00DD4321">
        <w:lastRenderedPageBreak/>
        <w:t>N</w:t>
      </w:r>
      <w:r w:rsidRPr="00407B7F">
        <w:rPr>
          <w:vertAlign w:val="subscript"/>
        </w:rPr>
        <w:t>2</w:t>
      </w:r>
      <w:r w:rsidRPr="00DD4321">
        <w:t>, 10</w:t>
      </w:r>
      <w:r>
        <w:t xml:space="preserve"> </w:t>
      </w:r>
      <w:r w:rsidRPr="00DD4321">
        <w:t>% CO</w:t>
      </w:r>
      <w:r w:rsidRPr="00407B7F">
        <w:rPr>
          <w:vertAlign w:val="subscript"/>
        </w:rPr>
        <w:t>2</w:t>
      </w:r>
      <w:r>
        <w:t xml:space="preserve">, </w:t>
      </w:r>
      <w:r w:rsidRPr="00DD4321">
        <w:t>and 5</w:t>
      </w:r>
      <w:r>
        <w:t xml:space="preserve"> </w:t>
      </w:r>
      <w:r w:rsidRPr="00DD4321">
        <w:t>% H</w:t>
      </w:r>
      <w:r w:rsidRPr="00407B7F">
        <w:rPr>
          <w:vertAlign w:val="subscript"/>
        </w:rPr>
        <w:t>2</w:t>
      </w:r>
      <w:r w:rsidRPr="00DD4321">
        <w:t xml:space="preserve">. </w:t>
      </w:r>
      <w:r>
        <w:t>Flat</w:t>
      </w:r>
      <w:r w:rsidRPr="00DD4321">
        <w:t>-bottom shake flasks of 50-mL were filled with 40 mL SMD-urea media containing 50 g L</w:t>
      </w:r>
      <w:r w:rsidRPr="001824FF">
        <w:rPr>
          <w:vertAlign w:val="superscript"/>
        </w:rPr>
        <w:t>-1</w:t>
      </w:r>
      <w:r w:rsidRPr="00DD4321">
        <w:t xml:space="preserve"> glucose as carbon source</w:t>
      </w:r>
      <w:r>
        <w:t>,</w:t>
      </w:r>
      <w:r w:rsidRPr="00DD4321">
        <w:t xml:space="preserve"> </w:t>
      </w:r>
      <w:r w:rsidRPr="00900EAB">
        <w:t>to ensure depletion of the vitamin/growth factor of</w:t>
      </w:r>
      <w:r>
        <w:t xml:space="preserve"> interest,</w:t>
      </w:r>
      <w:r w:rsidRPr="00DD4321">
        <w:t xml:space="preserve"> and 20 g L</w:t>
      </w:r>
      <w:r w:rsidRPr="00407B7F">
        <w:rPr>
          <w:vertAlign w:val="superscript"/>
        </w:rPr>
        <w:t>-1</w:t>
      </w:r>
      <w:r w:rsidRPr="00DD4321">
        <w:t xml:space="preserve"> glucose for the first transfer. The media was supplemented with vitamins with and without pantothenic acid or nicotinic acid as indicated and in all cases supplemented with Tween 80</w:t>
      </w:r>
      <w:r>
        <w:t xml:space="preserve"> and</w:t>
      </w:r>
      <w:r w:rsidRPr="00DD4321">
        <w:t xml:space="preserve"> </w:t>
      </w:r>
      <w:proofErr w:type="spellStart"/>
      <w:r>
        <w:t>er</w:t>
      </w:r>
      <w:r w:rsidRPr="00DD4321">
        <w:t>gosterol</w:t>
      </w:r>
      <w:proofErr w:type="spellEnd"/>
      <w:r w:rsidRPr="00DD4321">
        <w:t>. Sterile media was placed inside the anaerobic chamber</w:t>
      </w:r>
      <w:r>
        <w:t xml:space="preserve"> 24 h</w:t>
      </w:r>
      <w:r w:rsidRPr="00DD4321">
        <w:t xml:space="preserve"> prior to inoculation for the complete removal of oxygen traces. </w:t>
      </w:r>
      <w:r>
        <w:t xml:space="preserve">Traces of oxygen were continuously removed with a regularly regenerated </w:t>
      </w:r>
      <w:proofErr w:type="spellStart"/>
      <w:r>
        <w:t>Pd</w:t>
      </w:r>
      <w:proofErr w:type="spellEnd"/>
      <w:r>
        <w:t xml:space="preserve"> catalyst for H</w:t>
      </w:r>
      <w:r w:rsidRPr="00272A7C">
        <w:rPr>
          <w:vertAlign w:val="subscript"/>
        </w:rPr>
        <w:t>2</w:t>
      </w:r>
      <w:r>
        <w:t xml:space="preserve">-dependent oxygen removal placed inside the anaerobic chamber. </w:t>
      </w:r>
      <w:r w:rsidRPr="00DD4321">
        <w:t>Aerobic overnight shake-flask cultures on SMD-urea were used to inoculate the anaerobic shake flask without pantothenic acid or without nicotinic acid at an initial OD</w:t>
      </w:r>
      <w:r w:rsidRPr="00DD4321">
        <w:rPr>
          <w:vertAlign w:val="subscript"/>
        </w:rPr>
        <w:t>600</w:t>
      </w:r>
      <w:r w:rsidRPr="00DD4321">
        <w:t xml:space="preserve"> of 0.2. The cultures were cultivated at 30</w:t>
      </w:r>
      <w:r>
        <w:t xml:space="preserve"> </w:t>
      </w:r>
      <w:r w:rsidRPr="00DD4321">
        <w:t>°C with continuous stirring at 240 rpm on IKA ® KS 260 Basic orbital shaker platform (</w:t>
      </w:r>
      <w:proofErr w:type="spellStart"/>
      <w:r w:rsidRPr="00DD4321">
        <w:t>Dijkstra</w:t>
      </w:r>
      <w:proofErr w:type="spellEnd"/>
      <w:r w:rsidRPr="00DD4321">
        <w:t xml:space="preserve"> </w:t>
      </w:r>
      <w:proofErr w:type="spellStart"/>
      <w:r w:rsidRPr="00DD4321">
        <w:t>Verenigde</w:t>
      </w:r>
      <w:proofErr w:type="spellEnd"/>
      <w:r w:rsidRPr="00DD4321">
        <w:t xml:space="preserve"> BV, </w:t>
      </w:r>
      <w:proofErr w:type="spellStart"/>
      <w:r w:rsidRPr="00DD4321">
        <w:t>Lelystad</w:t>
      </w:r>
      <w:proofErr w:type="spellEnd"/>
      <w:r w:rsidRPr="00DD4321">
        <w:t xml:space="preserve">, the Netherlands). Periodic optical density measurements at a wavelength of 600 nm using an </w:t>
      </w:r>
      <w:proofErr w:type="spellStart"/>
      <w:r w:rsidRPr="00DD4321">
        <w:t>Ultrospec</w:t>
      </w:r>
      <w:proofErr w:type="spellEnd"/>
      <w:r w:rsidRPr="00DD4321">
        <w:t>® 10 cell density meter (</w:t>
      </w:r>
      <w:proofErr w:type="spellStart"/>
      <w:r w:rsidRPr="00DD4321">
        <w:t>Biochrom</w:t>
      </w:r>
      <w:proofErr w:type="spellEnd"/>
      <w:r w:rsidRPr="00DD4321">
        <w:t>, Cambridge, U</w:t>
      </w:r>
      <w:r>
        <w:t xml:space="preserve">nited </w:t>
      </w:r>
      <w:r w:rsidRPr="00DD4321">
        <w:t>K</w:t>
      </w:r>
      <w:r>
        <w:t>ingdom</w:t>
      </w:r>
      <w:r w:rsidRPr="00DD4321">
        <w:t>) inside the anaerobic environment were used to follow the growth over time. After growth had ceased and the OD</w:t>
      </w:r>
      <w:r w:rsidRPr="00DA5E7D">
        <w:rPr>
          <w:vertAlign w:val="subscript"/>
        </w:rPr>
        <w:t>600</w:t>
      </w:r>
      <w:r w:rsidRPr="00DD4321">
        <w:t xml:space="preserve"> no longer increased</w:t>
      </w:r>
      <w:r>
        <w:t xml:space="preserve"> the</w:t>
      </w:r>
      <w:r w:rsidRPr="00DD4321">
        <w:t xml:space="preserve"> cultures </w:t>
      </w:r>
      <w:r>
        <w:t xml:space="preserve">were transferred to </w:t>
      </w:r>
      <w:r w:rsidRPr="00DD4321">
        <w:t>SMD-urea with 20 g L</w:t>
      </w:r>
      <w:r w:rsidRPr="001824FF">
        <w:rPr>
          <w:vertAlign w:val="superscript"/>
        </w:rPr>
        <w:t>-1</w:t>
      </w:r>
      <w:r w:rsidRPr="00DD4321">
        <w:t xml:space="preserve"> glucose at a</w:t>
      </w:r>
      <w:r>
        <w:t>n</w:t>
      </w:r>
      <w:r w:rsidRPr="00DD4321">
        <w:t xml:space="preserve"> OD</w:t>
      </w:r>
      <w:r w:rsidRPr="00407B7F">
        <w:rPr>
          <w:vertAlign w:val="subscript"/>
        </w:rPr>
        <w:t>600</w:t>
      </w:r>
      <w:r w:rsidRPr="00DD4321">
        <w:t xml:space="preserve"> of 0.2</w:t>
      </w:r>
      <w:r w:rsidR="00584B1A">
        <w:t>.</w:t>
      </w:r>
    </w:p>
    <w:p w:rsidR="00FF1B26" w:rsidRPr="00FF1B26" w:rsidRDefault="00FF1B26" w:rsidP="00FF1B26"/>
    <w:p w:rsidR="00FF1B26" w:rsidRDefault="00FC4D86" w:rsidP="00FF1B26">
      <w:r w:rsidRPr="00FF1B26">
        <w:rPr>
          <w:b/>
        </w:rPr>
        <w:t>File Fig. 4_Table4_raw</w:t>
      </w:r>
      <w:r w:rsidRPr="00FF1B26">
        <w:t xml:space="preserve">: Data collected from anaerobic batch cultivation of IMX585 in </w:t>
      </w:r>
      <w:proofErr w:type="spellStart"/>
      <w:r w:rsidRPr="00FF1B26">
        <w:t>SMD∆nic</w:t>
      </w:r>
      <w:proofErr w:type="spellEnd"/>
      <w:r w:rsidRPr="00FF1B26">
        <w:t xml:space="preserve"> (A) and </w:t>
      </w:r>
      <w:proofErr w:type="spellStart"/>
      <w:r w:rsidRPr="00FF1B26">
        <w:t>SMD∆pan</w:t>
      </w:r>
      <w:proofErr w:type="spellEnd"/>
      <w:r w:rsidRPr="00FF1B26">
        <w:t xml:space="preserve"> (B), IMX2301 in </w:t>
      </w:r>
      <w:proofErr w:type="spellStart"/>
      <w:r w:rsidRPr="00FF1B26">
        <w:t>SMD∆nic</w:t>
      </w:r>
      <w:proofErr w:type="spellEnd"/>
      <w:r w:rsidRPr="00FF1B26">
        <w:t xml:space="preserve"> (C) and IMX2300-1 in </w:t>
      </w:r>
      <w:proofErr w:type="spellStart"/>
      <w:r w:rsidRPr="00FF1B26">
        <w:t>SMD∆pan</w:t>
      </w:r>
      <w:proofErr w:type="spellEnd"/>
      <w:r w:rsidRPr="00FF1B26">
        <w:t xml:space="preserve"> (D). All strains were pre-</w:t>
      </w:r>
      <w:r w:rsidRPr="00FF1B26">
        <w:t>grown in the corresponding medium lacking one vitamin prior to inoculation in the bioreactor to avoid carry-ov</w:t>
      </w:r>
      <w:r w:rsidRPr="00FF1B26">
        <w:t>er effects. Values for glucose , ethanol, glycerol, acetate and biomass</w:t>
      </w:r>
      <w:r w:rsidRPr="00FF1B26">
        <w:t xml:space="preserve"> are </w:t>
      </w:r>
      <w:r w:rsidRPr="00FF1B26">
        <w:t>reported</w:t>
      </w:r>
      <w:r w:rsidRPr="00FF1B26">
        <w:t xml:space="preserve"> over time. </w:t>
      </w:r>
      <w:r w:rsidRPr="00FF1B26">
        <w:t xml:space="preserve">Ethanol evaporation model used to calculate broth concentration is also provided. </w:t>
      </w:r>
      <w:r w:rsidR="00FF1B26" w:rsidRPr="00FF1B26">
        <w:t>These data were used to calculate m</w:t>
      </w:r>
      <w:r w:rsidR="00FF1B26" w:rsidRPr="00FF1B26">
        <w:t xml:space="preserve">aximum specific growth </w:t>
      </w:r>
      <w:r w:rsidR="00FF1B26" w:rsidRPr="00FF1B26">
        <w:lastRenderedPageBreak/>
        <w:t>rate (µ</w:t>
      </w:r>
      <w:r w:rsidR="00FF1B26" w:rsidRPr="00FF1B26">
        <w:rPr>
          <w:vertAlign w:val="subscript"/>
        </w:rPr>
        <w:t>max</w:t>
      </w:r>
      <w:r w:rsidR="00FF1B26" w:rsidRPr="00FF1B26">
        <w:t xml:space="preserve">) and yields of glycerol, biomass and ethanol on glucose in anaerobic bioreactor batch cultures of </w:t>
      </w:r>
      <w:r w:rsidR="00FF1B26" w:rsidRPr="00FF1B26">
        <w:rPr>
          <w:i/>
        </w:rPr>
        <w:t xml:space="preserve">S. cerevisiae </w:t>
      </w:r>
      <w:r w:rsidR="00FF1B26" w:rsidRPr="00FF1B26">
        <w:t>strains IMX585, IMX2301 and IMX2300-1</w:t>
      </w:r>
      <w:r w:rsidR="00FF1B26" w:rsidRPr="00FF1B26">
        <w:rPr>
          <w:bCs/>
        </w:rPr>
        <w:t xml:space="preserve"> as reported in Table 4</w:t>
      </w:r>
      <w:r w:rsidR="00FF1B26" w:rsidRPr="00FF1B26">
        <w:t>.</w:t>
      </w:r>
    </w:p>
    <w:p w:rsidR="00FC4D86" w:rsidRDefault="00FC4D86" w:rsidP="00FF1B26">
      <w:r>
        <w:t>Each worksheet reports the data of a single batch in controlled bioreactor. Each strain was tested in duplicate and duplicates av</w:t>
      </w:r>
      <w:r w:rsidR="00FF1B26">
        <w:t>erages are reported in worksheet “Averages”.</w:t>
      </w:r>
    </w:p>
    <w:p w:rsidR="00FC4D86" w:rsidRPr="00A442CF" w:rsidRDefault="00FC4D86" w:rsidP="00FF1B26">
      <w:r w:rsidRPr="00A442CF">
        <w:t xml:space="preserve">Cultures were grown on SMD, </w:t>
      </w:r>
      <w:proofErr w:type="spellStart"/>
      <w:r w:rsidRPr="00A442CF">
        <w:rPr>
          <w:rFonts w:eastAsia="Calibri"/>
        </w:rPr>
        <w:t>SMD∆nic</w:t>
      </w:r>
      <w:proofErr w:type="spellEnd"/>
      <w:r>
        <w:rPr>
          <w:rFonts w:eastAsia="Calibri"/>
        </w:rPr>
        <w:t>,</w:t>
      </w:r>
      <w:r w:rsidRPr="00A442CF">
        <w:rPr>
          <w:rFonts w:eastAsia="Calibri"/>
        </w:rPr>
        <w:t xml:space="preserve"> or </w:t>
      </w:r>
      <w:proofErr w:type="spellStart"/>
      <w:r w:rsidRPr="00A442CF">
        <w:rPr>
          <w:rFonts w:eastAsia="Calibri"/>
        </w:rPr>
        <w:t>SMD∆pan</w:t>
      </w:r>
      <w:proofErr w:type="spellEnd"/>
      <w:r w:rsidRPr="00A442CF">
        <w:rPr>
          <w:rFonts w:eastAsia="Calibri"/>
        </w:rPr>
        <w:t>, respectively, with 20 g L</w:t>
      </w:r>
      <w:r w:rsidRPr="00A442CF">
        <w:rPr>
          <w:rFonts w:eastAsia="Calibri"/>
          <w:vertAlign w:val="superscript"/>
        </w:rPr>
        <w:t>-1</w:t>
      </w:r>
      <w:r w:rsidRPr="00A442CF">
        <w:rPr>
          <w:rFonts w:eastAsia="Calibri"/>
        </w:rPr>
        <w:t xml:space="preserve"> glucose as carbon source (pH = 5). Growth rate</w:t>
      </w:r>
      <w:r>
        <w:rPr>
          <w:rFonts w:eastAsia="Calibri"/>
        </w:rPr>
        <w:t>s</w:t>
      </w:r>
      <w:r w:rsidRPr="00A442CF">
        <w:rPr>
          <w:rFonts w:eastAsia="Calibri"/>
        </w:rPr>
        <w:t xml:space="preserve"> and yields were calculated from the exponential growth phase. The ethanol yield was corrected for evaporation. Values represent average and mean deviation of data from independent cultures (n = 2). Carbon recovery in all fermentations was between 95 and 100%</w:t>
      </w:r>
    </w:p>
    <w:p w:rsidR="00584B1A" w:rsidRPr="00DD4321" w:rsidRDefault="00584B1A" w:rsidP="00584B1A">
      <w:pPr>
        <w:pStyle w:val="Heading3"/>
        <w:jc w:val="left"/>
      </w:pPr>
      <w:r w:rsidRPr="00DD4321">
        <w:t>Anaerobic bioreactor cultivation</w:t>
      </w:r>
    </w:p>
    <w:p w:rsidR="00584B1A" w:rsidRPr="00DD4321" w:rsidRDefault="00584B1A" w:rsidP="00584B1A">
      <w:r w:rsidRPr="00DD4321">
        <w:t>Anaerobic bioreactor batch cultivation was performed in 2-L laboratory bioreactors (</w:t>
      </w:r>
      <w:proofErr w:type="spellStart"/>
      <w:r w:rsidRPr="00DD4321">
        <w:t>Applikon</w:t>
      </w:r>
      <w:proofErr w:type="spellEnd"/>
      <w:r w:rsidRPr="00DD4321">
        <w:t xml:space="preserve">, Schiedam, the Netherlands) with a working volume of 1.2 L. </w:t>
      </w:r>
      <w:r>
        <w:t>B</w:t>
      </w:r>
      <w:r w:rsidRPr="00DD4321">
        <w:t>ioreactors were tested for gas leakage by applying 0.3 bar overpressure while completely submerging them in water</w:t>
      </w:r>
      <w:r>
        <w:t xml:space="preserve"> before autoclaving</w:t>
      </w:r>
      <w:r w:rsidRPr="00DD4321">
        <w:t xml:space="preserve">. Anaerobic conditions were maintained by continuous </w:t>
      </w:r>
      <w:proofErr w:type="spellStart"/>
      <w:r w:rsidRPr="00DD4321">
        <w:t>sparging</w:t>
      </w:r>
      <w:proofErr w:type="spellEnd"/>
      <w:r w:rsidRPr="00DD4321">
        <w:t xml:space="preserve"> of the bioreactor cultures with 500 mL N</w:t>
      </w:r>
      <w:r w:rsidRPr="00DD4321">
        <w:rPr>
          <w:vertAlign w:val="subscript"/>
        </w:rPr>
        <w:t>2</w:t>
      </w:r>
      <w:r w:rsidRPr="00DD4321">
        <w:t xml:space="preserve"> min</w:t>
      </w:r>
      <w:r w:rsidRPr="001824FF">
        <w:rPr>
          <w:vertAlign w:val="superscript"/>
        </w:rPr>
        <w:t>−1</w:t>
      </w:r>
      <w:r w:rsidRPr="00DD4321">
        <w:t xml:space="preserve"> (≤0.5 ppm O</w:t>
      </w:r>
      <w:r w:rsidRPr="00407B7F">
        <w:rPr>
          <w:vertAlign w:val="subscript"/>
        </w:rPr>
        <w:t>2</w:t>
      </w:r>
      <w:r w:rsidRPr="00DD4321">
        <w:t xml:space="preserve">, </w:t>
      </w:r>
      <w:proofErr w:type="spellStart"/>
      <w:r w:rsidRPr="00DD4321">
        <w:t>HiQ</w:t>
      </w:r>
      <w:proofErr w:type="spellEnd"/>
      <w:r w:rsidRPr="00DD4321">
        <w:t xml:space="preserve"> Nitrogen 6.0, Linde Gas Benelux, Schiedam, the Netherlands). Oxygen diffusion was minimized by using </w:t>
      </w:r>
      <w:proofErr w:type="spellStart"/>
      <w:r w:rsidRPr="00DD4321">
        <w:t>Fluran</w:t>
      </w:r>
      <w:proofErr w:type="spellEnd"/>
      <w:r w:rsidRPr="00DD4321">
        <w:t xml:space="preserve"> tubing (14 </w:t>
      </w:r>
      <w:proofErr w:type="spellStart"/>
      <w:r w:rsidRPr="00DD4321">
        <w:t>Barrer</w:t>
      </w:r>
      <w:proofErr w:type="spellEnd"/>
      <w:r w:rsidRPr="00DD4321">
        <w:t xml:space="preserve"> O2, F-5500-A, Saint-Gobain, Courbevoie, France) and Viton O-rings (</w:t>
      </w:r>
      <w:proofErr w:type="spellStart"/>
      <w:r w:rsidRPr="00DD4321">
        <w:t>Eriks</w:t>
      </w:r>
      <w:proofErr w:type="spellEnd"/>
      <w:r w:rsidRPr="00DD4321">
        <w:t>,</w:t>
      </w:r>
      <w:r>
        <w:t xml:space="preserve"> Alkmaar, the Netherlands). B</w:t>
      </w:r>
      <w:r w:rsidRPr="00DD4321">
        <w:t xml:space="preserve">ioreactor cultures were grown on either </w:t>
      </w:r>
      <w:proofErr w:type="spellStart"/>
      <w:r>
        <w:t>SMD∆pan</w:t>
      </w:r>
      <w:proofErr w:type="spellEnd"/>
      <w:r w:rsidRPr="00DD4321">
        <w:t xml:space="preserve"> or </w:t>
      </w:r>
      <w:proofErr w:type="spellStart"/>
      <w:r w:rsidRPr="00DD4321">
        <w:t>SMD</w:t>
      </w:r>
      <w:r w:rsidRPr="00DD4321">
        <w:rPr>
          <w:rFonts w:cstheme="minorHAnsi"/>
        </w:rPr>
        <w:t>∆</w:t>
      </w:r>
      <w:r w:rsidRPr="00DD4321">
        <w:t>nic</w:t>
      </w:r>
      <w:proofErr w:type="spellEnd"/>
      <w:r w:rsidRPr="00DD4321">
        <w:t xml:space="preserve"> with ammonium </w:t>
      </w:r>
      <w:proofErr w:type="spellStart"/>
      <w:r w:rsidRPr="00DD4321">
        <w:t>sulfate</w:t>
      </w:r>
      <w:proofErr w:type="spellEnd"/>
      <w:r w:rsidRPr="00DD4321">
        <w:t xml:space="preserve"> as nitrogen source. pH was </w:t>
      </w:r>
      <w:r>
        <w:t xml:space="preserve">controlled at 5 using </w:t>
      </w:r>
      <w:r w:rsidRPr="00DD4321">
        <w:t xml:space="preserve">2 M </w:t>
      </w:r>
      <w:r>
        <w:t>KOH</w:t>
      </w:r>
      <w:r w:rsidRPr="00DD4321">
        <w:t>. The autoclaved mineral salts solution was supplemented with 0.2 g L</w:t>
      </w:r>
      <w:r w:rsidRPr="001824FF">
        <w:rPr>
          <w:vertAlign w:val="superscript"/>
        </w:rPr>
        <w:t>−1</w:t>
      </w:r>
      <w:r w:rsidRPr="00DD4321">
        <w:t xml:space="preserve"> sterile antifoam emulsion C (Sigma-Aldrich). Bioreactors were continuously stirred at 800 rpm and temperature was controlled at 30</w:t>
      </w:r>
      <w:r>
        <w:t xml:space="preserve"> </w:t>
      </w:r>
      <w:r w:rsidRPr="00DD4321">
        <w:t>°C.</w:t>
      </w:r>
      <w:r>
        <w:t xml:space="preserve"> Evaporation of water and volatile metabolites was minimized by cooling the outlet gas of bioreactors to </w:t>
      </w:r>
      <w:r w:rsidRPr="00DD4321">
        <w:t>4</w:t>
      </w:r>
      <w:r>
        <w:t xml:space="preserve"> </w:t>
      </w:r>
      <w:r w:rsidRPr="00DD4321">
        <w:t>°C</w:t>
      </w:r>
      <w:r>
        <w:t xml:space="preserve"> in a condenser.</w:t>
      </w:r>
      <w:r w:rsidRPr="00DD4321">
        <w:t xml:space="preserve"> </w:t>
      </w:r>
      <w:r>
        <w:t xml:space="preserve">The outlet gas was then </w:t>
      </w:r>
      <w:r w:rsidRPr="00DD4321">
        <w:t xml:space="preserve">dried with a </w:t>
      </w:r>
      <w:proofErr w:type="spellStart"/>
      <w:r w:rsidRPr="00DD4321">
        <w:t>PermaPure</w:t>
      </w:r>
      <w:proofErr w:type="spellEnd"/>
      <w:r w:rsidRPr="00DD4321">
        <w:t xml:space="preserve"> PD-50T-12MPP dryer (</w:t>
      </w:r>
      <w:proofErr w:type="spellStart"/>
      <w:r w:rsidRPr="00DD4321">
        <w:t>Permapure</w:t>
      </w:r>
      <w:proofErr w:type="spellEnd"/>
      <w:r w:rsidRPr="00DD4321">
        <w:t>, Lakewood, NJ) prior to analysis. CO</w:t>
      </w:r>
      <w:r w:rsidRPr="00DD4321">
        <w:rPr>
          <w:vertAlign w:val="subscript"/>
        </w:rPr>
        <w:t>2</w:t>
      </w:r>
      <w:r w:rsidRPr="00DD4321">
        <w:t xml:space="preserve"> concentrations in the outlet gas were measured with an </w:t>
      </w:r>
      <w:r w:rsidRPr="00DD4321">
        <w:lastRenderedPageBreak/>
        <w:t>NGA 2000 Rosemount gas analy</w:t>
      </w:r>
      <w:r>
        <w:t>s</w:t>
      </w:r>
      <w:r w:rsidRPr="00DD4321">
        <w:t>er (Emerson, St. Louis, MO). The gas analy</w:t>
      </w:r>
      <w:r>
        <w:t>s</w:t>
      </w:r>
      <w:r w:rsidRPr="00DD4321">
        <w:t>er was calibrated with reference gas containing 3.03</w:t>
      </w:r>
      <w:r>
        <w:t xml:space="preserve"> </w:t>
      </w:r>
      <w:r w:rsidRPr="00DD4321">
        <w:t>% CO</w:t>
      </w:r>
      <w:r w:rsidRPr="00DD4321">
        <w:rPr>
          <w:vertAlign w:val="subscript"/>
        </w:rPr>
        <w:t>2</w:t>
      </w:r>
      <w:r w:rsidRPr="00DD4321">
        <w:t xml:space="preserve"> and N6 grade N</w:t>
      </w:r>
      <w:r w:rsidRPr="00DD4321">
        <w:rPr>
          <w:vertAlign w:val="subscript"/>
        </w:rPr>
        <w:t>2</w:t>
      </w:r>
      <w:r w:rsidRPr="00DD4321">
        <w:t xml:space="preserve"> (Linde Gas Benelux</w:t>
      </w:r>
      <w:r>
        <w:t>, Schiedam, The Netherlands</w:t>
      </w:r>
      <w:r w:rsidRPr="00DD4321">
        <w:t>).</w:t>
      </w:r>
    </w:p>
    <w:p w:rsidR="00584B1A" w:rsidRPr="00DD4321" w:rsidRDefault="00584B1A" w:rsidP="00584B1A">
      <w:r w:rsidRPr="00DD4321">
        <w:t xml:space="preserve">Frozen glycerol stock cultures were used to inoculate aerobic 100 mL shake flask cultures on either </w:t>
      </w:r>
      <w:proofErr w:type="spellStart"/>
      <w:r>
        <w:t>SMD∆pan</w:t>
      </w:r>
      <w:proofErr w:type="spellEnd"/>
      <w:r w:rsidRPr="00DD4321">
        <w:t xml:space="preserve"> or </w:t>
      </w:r>
      <w:proofErr w:type="spellStart"/>
      <w:r w:rsidRPr="00DD4321">
        <w:t>SMD</w:t>
      </w:r>
      <w:r w:rsidRPr="00DD4321">
        <w:rPr>
          <w:rFonts w:cstheme="minorHAnsi"/>
        </w:rPr>
        <w:t>∆</w:t>
      </w:r>
      <w:r w:rsidRPr="00DD4321">
        <w:t>nic</w:t>
      </w:r>
      <w:proofErr w:type="spellEnd"/>
      <w:r w:rsidRPr="00DD4321">
        <w:t>. After overnight cu</w:t>
      </w:r>
      <w:r>
        <w:t xml:space="preserve">ltivation at 30 °C, a second 100 </w:t>
      </w:r>
      <w:r w:rsidRPr="00DD4321">
        <w:t>mL aerobic shake-flask pre</w:t>
      </w:r>
      <w:r>
        <w:t>-</w:t>
      </w:r>
      <w:r w:rsidRPr="00DD4321">
        <w:t>culture on the same medium was inoculated at a starting OD</w:t>
      </w:r>
      <w:r w:rsidRPr="00DD4321">
        <w:rPr>
          <w:vertAlign w:val="subscript"/>
        </w:rPr>
        <w:t>660</w:t>
      </w:r>
      <w:r w:rsidRPr="00DD4321">
        <w:t xml:space="preserve"> of 1.0. During the exponential growth phase of this second pre</w:t>
      </w:r>
      <w:r>
        <w:t>-</w:t>
      </w:r>
      <w:r w:rsidRPr="00DD4321">
        <w:t xml:space="preserve">culture, biomass was harvested by centrifugation at </w:t>
      </w:r>
      <w:r>
        <w:t>3</w:t>
      </w:r>
      <w:r w:rsidRPr="00DD4321">
        <w:t>000 g for 5 min and washed with sterile demineralized water. The resulting cell suspension was used to inoculate anaerobic bioreactors at an OD</w:t>
      </w:r>
      <w:r w:rsidRPr="001824FF">
        <w:rPr>
          <w:vertAlign w:val="subscript"/>
        </w:rPr>
        <w:t>660</w:t>
      </w:r>
      <w:r w:rsidRPr="00DD4321">
        <w:t xml:space="preserve"> of 0.2.</w:t>
      </w:r>
      <w:r>
        <w:t xml:space="preserve"> </w:t>
      </w:r>
    </w:p>
    <w:p w:rsidR="00FC4D86" w:rsidRDefault="00FC4D86"/>
    <w:p w:rsidR="00FF1B26" w:rsidRDefault="00941096" w:rsidP="000E0E90">
      <w:pPr>
        <w:jc w:val="left"/>
        <w:rPr>
          <w:rFonts w:cstheme="majorHAnsi"/>
          <w:i/>
          <w:sz w:val="20"/>
          <w:szCs w:val="20"/>
        </w:rPr>
      </w:pPr>
      <w:r w:rsidRPr="000E0E90">
        <w:rPr>
          <w:rFonts w:cstheme="majorHAnsi"/>
        </w:rPr>
        <w:t xml:space="preserve">File </w:t>
      </w:r>
      <w:r w:rsidR="00FF1B26" w:rsidRPr="000E0E90">
        <w:rPr>
          <w:rFonts w:cstheme="majorHAnsi"/>
        </w:rPr>
        <w:t>Table 3</w:t>
      </w:r>
      <w:r w:rsidRPr="000E0E90">
        <w:rPr>
          <w:rFonts w:cstheme="majorHAnsi"/>
        </w:rPr>
        <w:t xml:space="preserve">_raw.xls </w:t>
      </w:r>
      <w:r w:rsidR="00FF1B26" w:rsidRPr="000E0E90">
        <w:rPr>
          <w:rFonts w:cstheme="majorHAnsi"/>
        </w:rPr>
        <w:t xml:space="preserve">: </w:t>
      </w:r>
      <w:r w:rsidRPr="000E0E90">
        <w:rPr>
          <w:rFonts w:cstheme="majorHAnsi"/>
        </w:rPr>
        <w:t>OD660nm data of a</w:t>
      </w:r>
      <w:r w:rsidR="00FF1B26" w:rsidRPr="000E0E90">
        <w:rPr>
          <w:rFonts w:cstheme="majorHAnsi"/>
        </w:rPr>
        <w:t xml:space="preserve">erobic </w:t>
      </w:r>
      <w:r w:rsidRPr="000E0E90">
        <w:rPr>
          <w:rFonts w:cstheme="majorHAnsi"/>
        </w:rPr>
        <w:t xml:space="preserve">cultures </w:t>
      </w:r>
      <w:r w:rsidRPr="000E0E90">
        <w:rPr>
          <w:rFonts w:cstheme="majorHAnsi"/>
        </w:rPr>
        <w:t xml:space="preserve">in SMD, </w:t>
      </w:r>
      <w:proofErr w:type="spellStart"/>
      <w:r w:rsidRPr="000E0E90">
        <w:rPr>
          <w:rFonts w:cstheme="majorHAnsi"/>
        </w:rPr>
        <w:t>SMD∆nic</w:t>
      </w:r>
      <w:proofErr w:type="spellEnd"/>
      <w:r w:rsidRPr="000E0E90">
        <w:rPr>
          <w:rFonts w:cstheme="majorHAnsi"/>
        </w:rPr>
        <w:t xml:space="preserve"> and </w:t>
      </w:r>
      <w:proofErr w:type="spellStart"/>
      <w:r w:rsidRPr="000E0E90">
        <w:rPr>
          <w:rFonts w:cstheme="majorHAnsi"/>
        </w:rPr>
        <w:t>SMD∆pan</w:t>
      </w:r>
      <w:proofErr w:type="spellEnd"/>
      <w:r w:rsidRPr="000E0E90">
        <w:rPr>
          <w:rFonts w:cstheme="majorHAnsi"/>
        </w:rPr>
        <w:t xml:space="preserve"> media</w:t>
      </w:r>
      <w:r w:rsidRPr="000E0E90">
        <w:rPr>
          <w:rFonts w:cstheme="majorHAnsi"/>
        </w:rPr>
        <w:t xml:space="preserve"> of </w:t>
      </w:r>
      <w:r w:rsidRPr="000E0E90">
        <w:rPr>
          <w:rFonts w:cstheme="majorHAnsi"/>
          <w:i/>
        </w:rPr>
        <w:t>S. cerevisiae</w:t>
      </w:r>
      <w:r w:rsidRPr="000E0E90">
        <w:rPr>
          <w:rFonts w:cstheme="majorHAnsi"/>
        </w:rPr>
        <w:t xml:space="preserve"> strains</w:t>
      </w:r>
      <w:r w:rsidRPr="000E0E90">
        <w:rPr>
          <w:rFonts w:cstheme="majorHAnsi"/>
        </w:rPr>
        <w:t xml:space="preserve"> </w:t>
      </w:r>
      <w:r w:rsidRPr="000E0E90">
        <w:rPr>
          <w:rFonts w:cstheme="majorHAnsi"/>
        </w:rPr>
        <w:t>IMX585</w:t>
      </w:r>
      <w:r w:rsidRPr="000E0E90">
        <w:rPr>
          <w:rFonts w:cstheme="majorHAnsi"/>
        </w:rPr>
        <w:t xml:space="preserve">, </w:t>
      </w:r>
      <w:r w:rsidRPr="000E0E90">
        <w:rPr>
          <w:rFonts w:cstheme="majorHAnsi"/>
        </w:rPr>
        <w:t>IMX2292</w:t>
      </w:r>
      <w:r w:rsidRPr="000E0E90">
        <w:rPr>
          <w:rFonts w:cstheme="majorHAnsi"/>
        </w:rPr>
        <w:t xml:space="preserve"> (</w:t>
      </w:r>
      <w:proofErr w:type="spellStart"/>
      <w:r w:rsidRPr="000E0E90">
        <w:rPr>
          <w:rFonts w:cstheme="majorHAnsi"/>
          <w:sz w:val="20"/>
          <w:szCs w:val="20"/>
        </w:rPr>
        <w:t>MATa</w:t>
      </w:r>
      <w:proofErr w:type="spellEnd"/>
      <w:r w:rsidRPr="000E0E90">
        <w:rPr>
          <w:rFonts w:cstheme="majorHAnsi"/>
          <w:sz w:val="20"/>
          <w:szCs w:val="20"/>
        </w:rPr>
        <w:t xml:space="preserve"> </w:t>
      </w:r>
      <w:r w:rsidRPr="000E0E90">
        <w:rPr>
          <w:rFonts w:cstheme="majorHAnsi"/>
          <w:i/>
          <w:sz w:val="20"/>
          <w:szCs w:val="20"/>
        </w:rPr>
        <w:t>can1</w:t>
      </w:r>
      <w:r w:rsidRPr="000E0E90">
        <w:rPr>
          <w:rFonts w:cstheme="majorHAnsi"/>
          <w:sz w:val="20"/>
          <w:szCs w:val="20"/>
        </w:rPr>
        <w:t>Δ::</w:t>
      </w:r>
      <w:r w:rsidRPr="000E0E90">
        <w:rPr>
          <w:rFonts w:cstheme="majorHAnsi"/>
          <w:i/>
          <w:sz w:val="20"/>
          <w:szCs w:val="20"/>
        </w:rPr>
        <w:t>Spycas9</w:t>
      </w:r>
      <w:r w:rsidRPr="000E0E90">
        <w:rPr>
          <w:rFonts w:cstheme="majorHAnsi"/>
          <w:sz w:val="20"/>
          <w:szCs w:val="20"/>
        </w:rPr>
        <w:t xml:space="preserve">-natNT2 </w:t>
      </w:r>
      <w:r w:rsidRPr="000E0E90">
        <w:rPr>
          <w:rFonts w:cstheme="majorHAnsi"/>
          <w:i/>
          <w:sz w:val="20"/>
          <w:szCs w:val="20"/>
        </w:rPr>
        <w:t>URA3</w:t>
      </w:r>
      <w:r w:rsidRPr="000E0E90">
        <w:rPr>
          <w:rFonts w:cstheme="majorHAnsi"/>
          <w:sz w:val="20"/>
          <w:szCs w:val="20"/>
        </w:rPr>
        <w:t xml:space="preserve"> </w:t>
      </w:r>
      <w:r w:rsidRPr="000E0E90">
        <w:rPr>
          <w:rFonts w:cstheme="majorHAnsi"/>
          <w:i/>
          <w:sz w:val="20"/>
          <w:szCs w:val="20"/>
        </w:rPr>
        <w:t>fms1</w:t>
      </w:r>
      <w:r w:rsidRPr="000E0E90">
        <w:rPr>
          <w:rFonts w:cstheme="majorHAnsi"/>
          <w:sz w:val="20"/>
          <w:szCs w:val="20"/>
        </w:rPr>
        <w:t>Δ</w:t>
      </w:r>
      <w:r w:rsidRPr="000E0E90">
        <w:rPr>
          <w:rFonts w:cstheme="majorHAnsi"/>
          <w:sz w:val="20"/>
          <w:szCs w:val="20"/>
        </w:rPr>
        <w:t>)</w:t>
      </w:r>
      <w:r w:rsidRPr="000E0E90">
        <w:rPr>
          <w:rFonts w:cstheme="majorHAnsi"/>
        </w:rPr>
        <w:t xml:space="preserve">, </w:t>
      </w:r>
      <w:r w:rsidRPr="000E0E90">
        <w:rPr>
          <w:rFonts w:cstheme="majorHAnsi"/>
        </w:rPr>
        <w:t>IMX2305</w:t>
      </w:r>
      <w:r w:rsidRPr="000E0E90">
        <w:rPr>
          <w:rFonts w:cstheme="majorHAnsi"/>
        </w:rPr>
        <w:t xml:space="preserve"> (</w:t>
      </w:r>
      <w:proofErr w:type="spellStart"/>
      <w:r w:rsidRPr="000E0E90">
        <w:rPr>
          <w:rFonts w:eastAsia="Calibri" w:cstheme="majorHAnsi"/>
          <w:sz w:val="20"/>
          <w:szCs w:val="20"/>
        </w:rPr>
        <w:t>MATa</w:t>
      </w:r>
      <w:proofErr w:type="spellEnd"/>
      <w:r w:rsidRPr="000E0E90">
        <w:rPr>
          <w:rFonts w:eastAsia="Calibri" w:cstheme="majorHAnsi"/>
          <w:sz w:val="20"/>
          <w:szCs w:val="20"/>
        </w:rPr>
        <w:t xml:space="preserve"> </w:t>
      </w:r>
      <w:r w:rsidRPr="000E0E90">
        <w:rPr>
          <w:rFonts w:eastAsia="Calibri" w:cstheme="majorHAnsi"/>
          <w:i/>
          <w:sz w:val="20"/>
          <w:szCs w:val="20"/>
        </w:rPr>
        <w:t>ura3-52</w:t>
      </w:r>
      <w:r w:rsidRPr="000E0E90">
        <w:rPr>
          <w:rFonts w:cstheme="majorHAnsi"/>
          <w:sz w:val="20"/>
          <w:szCs w:val="20"/>
        </w:rPr>
        <w:t>::</w:t>
      </w:r>
      <w:r w:rsidRPr="000E0E90">
        <w:rPr>
          <w:rFonts w:eastAsia="Calibri" w:cstheme="majorHAnsi"/>
          <w:sz w:val="20"/>
          <w:szCs w:val="20"/>
        </w:rPr>
        <w:t>p</w:t>
      </w:r>
      <w:r w:rsidRPr="000E0E90">
        <w:rPr>
          <w:rFonts w:eastAsia="Calibri" w:cstheme="majorHAnsi"/>
          <w:i/>
          <w:sz w:val="20"/>
          <w:szCs w:val="20"/>
        </w:rPr>
        <w:t>RPL12b-TcPAND</w:t>
      </w:r>
      <w:r w:rsidRPr="000E0E90">
        <w:rPr>
          <w:rFonts w:eastAsia="Calibri" w:cstheme="majorHAnsi"/>
          <w:sz w:val="20"/>
          <w:szCs w:val="20"/>
        </w:rPr>
        <w:t>-t</w:t>
      </w:r>
      <w:r w:rsidRPr="000E0E90">
        <w:rPr>
          <w:rFonts w:eastAsia="Calibri" w:cstheme="majorHAnsi"/>
          <w:i/>
          <w:sz w:val="20"/>
          <w:szCs w:val="20"/>
        </w:rPr>
        <w:t>TDH1</w:t>
      </w:r>
      <w:r w:rsidRPr="000E0E90">
        <w:rPr>
          <w:rFonts w:eastAsia="Calibri" w:cstheme="majorHAnsi"/>
          <w:sz w:val="20"/>
          <w:szCs w:val="20"/>
        </w:rPr>
        <w:t xml:space="preserve"> </w:t>
      </w:r>
      <w:r w:rsidRPr="000E0E90">
        <w:rPr>
          <w:rFonts w:eastAsia="Calibri" w:cstheme="majorHAnsi"/>
          <w:i/>
          <w:sz w:val="20"/>
          <w:szCs w:val="20"/>
        </w:rPr>
        <w:t>URA3</w:t>
      </w:r>
      <w:r w:rsidRPr="000E0E90">
        <w:rPr>
          <w:rFonts w:eastAsia="Calibri" w:cstheme="majorHAnsi"/>
          <w:sz w:val="20"/>
          <w:szCs w:val="20"/>
        </w:rPr>
        <w:t xml:space="preserve"> </w:t>
      </w:r>
      <w:r w:rsidRPr="000E0E90">
        <w:rPr>
          <w:rFonts w:eastAsia="Calibri" w:cstheme="majorHAnsi"/>
          <w:i/>
          <w:sz w:val="20"/>
          <w:szCs w:val="20"/>
        </w:rPr>
        <w:t>can1</w:t>
      </w:r>
      <w:r w:rsidRPr="000E0E90">
        <w:rPr>
          <w:rFonts w:eastAsia="Calibri" w:cstheme="majorHAnsi"/>
          <w:sz w:val="20"/>
          <w:szCs w:val="20"/>
        </w:rPr>
        <w:t>Δ::</w:t>
      </w:r>
      <w:r w:rsidRPr="000E0E90">
        <w:rPr>
          <w:rFonts w:eastAsia="Calibri" w:cstheme="majorHAnsi"/>
          <w:i/>
          <w:sz w:val="20"/>
          <w:szCs w:val="20"/>
        </w:rPr>
        <w:t>Spycas9</w:t>
      </w:r>
      <w:r w:rsidRPr="000E0E90">
        <w:rPr>
          <w:rFonts w:eastAsia="Calibri" w:cstheme="majorHAnsi"/>
          <w:sz w:val="20"/>
          <w:szCs w:val="20"/>
        </w:rPr>
        <w:t xml:space="preserve">-natNT2 </w:t>
      </w:r>
      <w:r w:rsidRPr="000E0E90">
        <w:rPr>
          <w:rFonts w:eastAsia="Calibri" w:cstheme="majorHAnsi"/>
          <w:i/>
          <w:sz w:val="20"/>
          <w:szCs w:val="20"/>
        </w:rPr>
        <w:t>fms1</w:t>
      </w:r>
      <w:r w:rsidRPr="000E0E90">
        <w:rPr>
          <w:rFonts w:cstheme="majorHAnsi"/>
          <w:sz w:val="20"/>
          <w:szCs w:val="20"/>
        </w:rPr>
        <w:t>∆</w:t>
      </w:r>
      <w:r w:rsidRPr="000E0E90">
        <w:rPr>
          <w:rFonts w:cstheme="majorHAnsi"/>
          <w:sz w:val="20"/>
          <w:szCs w:val="20"/>
        </w:rPr>
        <w:t>)</w:t>
      </w:r>
      <w:r w:rsidRPr="000E0E90">
        <w:rPr>
          <w:rFonts w:cstheme="majorHAnsi"/>
        </w:rPr>
        <w:t xml:space="preserve">, </w:t>
      </w:r>
      <w:r w:rsidRPr="000E0E90">
        <w:rPr>
          <w:rFonts w:cstheme="majorHAnsi"/>
        </w:rPr>
        <w:t>IM</w:t>
      </w:r>
      <w:r w:rsidRPr="000E0E90">
        <w:rPr>
          <w:rFonts w:cstheme="majorHAnsi"/>
        </w:rPr>
        <w:t>X2300-1 (</w:t>
      </w:r>
      <w:proofErr w:type="spellStart"/>
      <w:r w:rsidRPr="000E0E90">
        <w:rPr>
          <w:rFonts w:eastAsia="Calibri" w:cstheme="majorHAnsi"/>
          <w:sz w:val="20"/>
          <w:szCs w:val="20"/>
        </w:rPr>
        <w:t>MATa</w:t>
      </w:r>
      <w:proofErr w:type="spellEnd"/>
      <w:r w:rsidRPr="000E0E90">
        <w:rPr>
          <w:rFonts w:eastAsia="Calibri" w:cstheme="majorHAnsi"/>
          <w:sz w:val="20"/>
          <w:szCs w:val="20"/>
        </w:rPr>
        <w:t xml:space="preserve"> </w:t>
      </w:r>
      <w:r w:rsidRPr="000E0E90">
        <w:rPr>
          <w:rFonts w:eastAsia="Calibri" w:cstheme="majorHAnsi"/>
          <w:i/>
          <w:sz w:val="20"/>
          <w:szCs w:val="20"/>
        </w:rPr>
        <w:t>ura3-52</w:t>
      </w:r>
      <w:r w:rsidRPr="000E0E90">
        <w:rPr>
          <w:rFonts w:eastAsia="Calibri" w:cstheme="majorHAnsi"/>
          <w:sz w:val="20"/>
          <w:szCs w:val="20"/>
        </w:rPr>
        <w:t>::p</w:t>
      </w:r>
      <w:r w:rsidRPr="000E0E90">
        <w:rPr>
          <w:rFonts w:eastAsia="Calibri" w:cstheme="majorHAnsi"/>
          <w:i/>
          <w:sz w:val="20"/>
          <w:szCs w:val="20"/>
        </w:rPr>
        <w:t>TDH3-NcadcA</w:t>
      </w:r>
      <w:r w:rsidRPr="000E0E90">
        <w:rPr>
          <w:rFonts w:eastAsia="Calibri" w:cstheme="majorHAnsi"/>
          <w:sz w:val="20"/>
          <w:szCs w:val="20"/>
        </w:rPr>
        <w:t>-t</w:t>
      </w:r>
      <w:r w:rsidRPr="000E0E90">
        <w:rPr>
          <w:rFonts w:eastAsia="Calibri" w:cstheme="majorHAnsi"/>
          <w:i/>
          <w:sz w:val="20"/>
          <w:szCs w:val="20"/>
        </w:rPr>
        <w:t>ENO2 URA3 can1</w:t>
      </w:r>
      <w:r w:rsidRPr="000E0E90">
        <w:rPr>
          <w:rFonts w:eastAsia="Calibri" w:cstheme="majorHAnsi"/>
          <w:sz w:val="20"/>
          <w:szCs w:val="20"/>
        </w:rPr>
        <w:t>Δ::</w:t>
      </w:r>
      <w:r w:rsidRPr="000E0E90">
        <w:rPr>
          <w:rFonts w:eastAsia="Calibri" w:cstheme="majorHAnsi"/>
          <w:i/>
          <w:sz w:val="20"/>
          <w:szCs w:val="20"/>
        </w:rPr>
        <w:t>Spycas9</w:t>
      </w:r>
      <w:r w:rsidRPr="000E0E90">
        <w:rPr>
          <w:rFonts w:eastAsia="Calibri" w:cstheme="majorHAnsi"/>
          <w:sz w:val="20"/>
          <w:szCs w:val="20"/>
        </w:rPr>
        <w:t xml:space="preserve">-natNT2 </w:t>
      </w:r>
      <w:r w:rsidRPr="000E0E90">
        <w:rPr>
          <w:rFonts w:eastAsia="Calibri" w:cstheme="majorHAnsi"/>
          <w:i/>
          <w:sz w:val="20"/>
          <w:szCs w:val="20"/>
        </w:rPr>
        <w:t>fms1</w:t>
      </w:r>
      <w:r w:rsidRPr="000E0E90">
        <w:rPr>
          <w:rFonts w:cstheme="majorHAnsi"/>
          <w:sz w:val="20"/>
          <w:szCs w:val="20"/>
        </w:rPr>
        <w:t>∆ Colony isolate 1</w:t>
      </w:r>
      <w:r w:rsidRPr="000E0E90">
        <w:rPr>
          <w:rFonts w:cstheme="majorHAnsi"/>
          <w:sz w:val="20"/>
          <w:szCs w:val="20"/>
        </w:rPr>
        <w:t>)</w:t>
      </w:r>
      <w:r w:rsidRPr="000E0E90">
        <w:rPr>
          <w:rFonts w:cstheme="majorHAnsi"/>
        </w:rPr>
        <w:t xml:space="preserve">, </w:t>
      </w:r>
      <w:r w:rsidRPr="000E0E90">
        <w:rPr>
          <w:rFonts w:cstheme="majorHAnsi"/>
        </w:rPr>
        <w:t>IMK877</w:t>
      </w:r>
      <w:r w:rsidRPr="000E0E90">
        <w:rPr>
          <w:rFonts w:cstheme="majorHAnsi"/>
        </w:rPr>
        <w:t xml:space="preserve"> (</w:t>
      </w:r>
      <w:proofErr w:type="spellStart"/>
      <w:r w:rsidRPr="000E0E90">
        <w:rPr>
          <w:rFonts w:eastAsia="Calibri" w:cstheme="majorHAnsi"/>
          <w:sz w:val="20"/>
          <w:szCs w:val="20"/>
        </w:rPr>
        <w:t>MATa</w:t>
      </w:r>
      <w:proofErr w:type="spellEnd"/>
      <w:r w:rsidRPr="000E0E90">
        <w:rPr>
          <w:rFonts w:eastAsia="Calibri" w:cstheme="majorHAnsi"/>
          <w:sz w:val="20"/>
          <w:szCs w:val="20"/>
        </w:rPr>
        <w:t xml:space="preserve"> </w:t>
      </w:r>
      <w:r w:rsidRPr="000E0E90">
        <w:rPr>
          <w:rFonts w:eastAsia="Calibri" w:cstheme="majorHAnsi"/>
          <w:i/>
          <w:sz w:val="20"/>
          <w:szCs w:val="20"/>
        </w:rPr>
        <w:t>can1</w:t>
      </w:r>
      <w:r w:rsidRPr="000E0E90">
        <w:rPr>
          <w:rFonts w:eastAsia="Calibri" w:cstheme="majorHAnsi"/>
          <w:sz w:val="20"/>
          <w:szCs w:val="20"/>
        </w:rPr>
        <w:t>Δ::</w:t>
      </w:r>
      <w:r w:rsidRPr="000E0E90">
        <w:rPr>
          <w:rFonts w:eastAsia="Calibri" w:cstheme="majorHAnsi"/>
          <w:i/>
          <w:sz w:val="20"/>
          <w:szCs w:val="20"/>
        </w:rPr>
        <w:t>Spycas9</w:t>
      </w:r>
      <w:r w:rsidRPr="000E0E90">
        <w:rPr>
          <w:rFonts w:eastAsia="Calibri" w:cstheme="majorHAnsi"/>
          <w:sz w:val="20"/>
          <w:szCs w:val="20"/>
        </w:rPr>
        <w:t xml:space="preserve">-natNT2 </w:t>
      </w:r>
      <w:r w:rsidRPr="000E0E90">
        <w:rPr>
          <w:rFonts w:eastAsia="Calibri" w:cstheme="majorHAnsi"/>
          <w:i/>
          <w:sz w:val="20"/>
          <w:szCs w:val="20"/>
        </w:rPr>
        <w:t xml:space="preserve">URA3 </w:t>
      </w:r>
      <w:r w:rsidRPr="000E0E90">
        <w:rPr>
          <w:rFonts w:cstheme="majorHAnsi"/>
          <w:i/>
          <w:sz w:val="20"/>
          <w:szCs w:val="20"/>
        </w:rPr>
        <w:t>bna2</w:t>
      </w:r>
      <w:r w:rsidRPr="000E0E90">
        <w:rPr>
          <w:rFonts w:cstheme="majorHAnsi"/>
          <w:sz w:val="20"/>
          <w:szCs w:val="20"/>
        </w:rPr>
        <w:t>∆</w:t>
      </w:r>
      <w:r w:rsidRPr="000E0E90">
        <w:rPr>
          <w:rFonts w:cstheme="majorHAnsi"/>
          <w:sz w:val="20"/>
          <w:szCs w:val="20"/>
        </w:rPr>
        <w:t>)</w:t>
      </w:r>
      <w:r w:rsidRPr="000E0E90">
        <w:rPr>
          <w:rFonts w:cstheme="majorHAnsi"/>
        </w:rPr>
        <w:t xml:space="preserve">, </w:t>
      </w:r>
      <w:r w:rsidRPr="000E0E90">
        <w:rPr>
          <w:rFonts w:cstheme="majorHAnsi"/>
        </w:rPr>
        <w:t>IMX2301</w:t>
      </w:r>
      <w:r w:rsidRPr="000E0E90">
        <w:rPr>
          <w:rFonts w:cstheme="majorHAnsi"/>
        </w:rPr>
        <w:t xml:space="preserve"> (</w:t>
      </w:r>
      <w:proofErr w:type="spellStart"/>
      <w:r w:rsidRPr="000E0E90">
        <w:rPr>
          <w:rFonts w:eastAsia="Calibri" w:cstheme="majorHAnsi"/>
          <w:sz w:val="20"/>
          <w:szCs w:val="20"/>
        </w:rPr>
        <w:t>MATa</w:t>
      </w:r>
      <w:proofErr w:type="spellEnd"/>
      <w:r w:rsidRPr="000E0E90">
        <w:rPr>
          <w:rFonts w:eastAsia="Calibri" w:cstheme="majorHAnsi"/>
          <w:sz w:val="20"/>
          <w:szCs w:val="20"/>
        </w:rPr>
        <w:t xml:space="preserve"> </w:t>
      </w:r>
      <w:r w:rsidRPr="000E0E90">
        <w:rPr>
          <w:rFonts w:eastAsia="Calibri" w:cstheme="majorHAnsi"/>
          <w:i/>
          <w:sz w:val="20"/>
          <w:szCs w:val="20"/>
        </w:rPr>
        <w:t>can1</w:t>
      </w:r>
      <w:r w:rsidRPr="000E0E90">
        <w:rPr>
          <w:rFonts w:eastAsia="Calibri" w:cstheme="majorHAnsi"/>
          <w:sz w:val="20"/>
          <w:szCs w:val="20"/>
        </w:rPr>
        <w:t>Δ::</w:t>
      </w:r>
      <w:r w:rsidRPr="000E0E90">
        <w:rPr>
          <w:rFonts w:eastAsia="Calibri" w:cstheme="majorHAnsi"/>
          <w:i/>
          <w:sz w:val="20"/>
          <w:szCs w:val="20"/>
        </w:rPr>
        <w:t>Spycas9</w:t>
      </w:r>
      <w:r w:rsidRPr="000E0E90">
        <w:rPr>
          <w:rFonts w:eastAsia="Calibri" w:cstheme="majorHAnsi"/>
          <w:sz w:val="20"/>
          <w:szCs w:val="20"/>
        </w:rPr>
        <w:t xml:space="preserve">-natNT2 </w:t>
      </w:r>
      <w:r w:rsidRPr="000E0E90">
        <w:rPr>
          <w:rFonts w:eastAsia="Calibri" w:cstheme="majorHAnsi"/>
          <w:i/>
          <w:sz w:val="20"/>
          <w:szCs w:val="20"/>
        </w:rPr>
        <w:t>URA3</w:t>
      </w:r>
      <w:r w:rsidRPr="000E0E90">
        <w:rPr>
          <w:rFonts w:eastAsia="Calibri" w:cstheme="majorHAnsi"/>
          <w:sz w:val="20"/>
          <w:szCs w:val="20"/>
        </w:rPr>
        <w:t xml:space="preserve"> </w:t>
      </w:r>
      <w:r w:rsidRPr="000E0E90">
        <w:rPr>
          <w:rFonts w:cstheme="majorHAnsi"/>
          <w:i/>
          <w:sz w:val="20"/>
          <w:szCs w:val="20"/>
        </w:rPr>
        <w:t>bna2</w:t>
      </w:r>
      <w:r w:rsidRPr="000E0E90">
        <w:rPr>
          <w:rFonts w:cstheme="majorHAnsi"/>
          <w:sz w:val="20"/>
          <w:szCs w:val="20"/>
        </w:rPr>
        <w:t xml:space="preserve">∆ </w:t>
      </w:r>
      <w:r w:rsidRPr="000E0E90">
        <w:rPr>
          <w:rFonts w:cstheme="majorHAnsi"/>
          <w:i/>
          <w:sz w:val="20"/>
          <w:szCs w:val="20"/>
        </w:rPr>
        <w:t>sga1</w:t>
      </w:r>
      <w:r w:rsidRPr="000E0E90">
        <w:rPr>
          <w:rFonts w:cstheme="majorHAnsi"/>
          <w:sz w:val="20"/>
          <w:szCs w:val="20"/>
        </w:rPr>
        <w:t>::p</w:t>
      </w:r>
      <w:r w:rsidRPr="000E0E90">
        <w:rPr>
          <w:rFonts w:cstheme="majorHAnsi"/>
          <w:i/>
          <w:sz w:val="20"/>
          <w:szCs w:val="20"/>
        </w:rPr>
        <w:t>TDH3</w:t>
      </w:r>
      <w:r w:rsidRPr="000E0E90">
        <w:rPr>
          <w:rFonts w:cstheme="majorHAnsi"/>
          <w:sz w:val="20"/>
          <w:szCs w:val="20"/>
        </w:rPr>
        <w:t>-</w:t>
      </w:r>
      <w:r w:rsidRPr="000E0E90">
        <w:rPr>
          <w:rFonts w:cstheme="majorHAnsi"/>
          <w:i/>
          <w:sz w:val="20"/>
          <w:szCs w:val="20"/>
        </w:rPr>
        <w:t>PfnadA</w:t>
      </w:r>
      <w:r w:rsidRPr="000E0E90">
        <w:rPr>
          <w:rFonts w:cstheme="majorHAnsi"/>
          <w:sz w:val="20"/>
          <w:szCs w:val="20"/>
        </w:rPr>
        <w:t>-t</w:t>
      </w:r>
      <w:r w:rsidRPr="000E0E90">
        <w:rPr>
          <w:rFonts w:cstheme="majorHAnsi"/>
          <w:i/>
          <w:sz w:val="20"/>
          <w:szCs w:val="20"/>
        </w:rPr>
        <w:t>ENO1</w:t>
      </w:r>
      <w:r w:rsidRPr="000E0E90">
        <w:rPr>
          <w:rFonts w:cstheme="majorHAnsi"/>
          <w:sz w:val="20"/>
          <w:szCs w:val="20"/>
        </w:rPr>
        <w:t xml:space="preserve"> p</w:t>
      </w:r>
      <w:r w:rsidRPr="000E0E90">
        <w:rPr>
          <w:rFonts w:cstheme="majorHAnsi"/>
          <w:i/>
          <w:sz w:val="20"/>
          <w:szCs w:val="20"/>
        </w:rPr>
        <w:t>CCW12</w:t>
      </w:r>
      <w:r w:rsidRPr="000E0E90">
        <w:rPr>
          <w:rFonts w:cstheme="majorHAnsi"/>
          <w:sz w:val="20"/>
          <w:szCs w:val="20"/>
        </w:rPr>
        <w:t>-</w:t>
      </w:r>
      <w:r w:rsidRPr="000E0E90">
        <w:rPr>
          <w:rFonts w:cstheme="majorHAnsi"/>
          <w:i/>
          <w:sz w:val="20"/>
          <w:szCs w:val="20"/>
        </w:rPr>
        <w:t>PfnadB</w:t>
      </w:r>
      <w:r w:rsidRPr="000E0E90">
        <w:rPr>
          <w:rFonts w:cstheme="majorHAnsi"/>
          <w:sz w:val="20"/>
          <w:szCs w:val="20"/>
        </w:rPr>
        <w:t>-t</w:t>
      </w:r>
      <w:r w:rsidRPr="000E0E90">
        <w:rPr>
          <w:rFonts w:cstheme="majorHAnsi"/>
          <w:i/>
          <w:sz w:val="20"/>
          <w:szCs w:val="20"/>
        </w:rPr>
        <w:t>ENO2</w:t>
      </w:r>
      <w:r w:rsidRPr="000E0E90">
        <w:rPr>
          <w:rFonts w:cstheme="majorHAnsi"/>
          <w:i/>
          <w:sz w:val="20"/>
          <w:szCs w:val="20"/>
        </w:rPr>
        <w:t>)</w:t>
      </w:r>
      <w:r w:rsidRPr="000E0E90">
        <w:rPr>
          <w:rFonts w:cstheme="majorHAnsi"/>
        </w:rPr>
        <w:t xml:space="preserve">, </w:t>
      </w:r>
      <w:r w:rsidRPr="000E0E90">
        <w:rPr>
          <w:rFonts w:cstheme="majorHAnsi"/>
        </w:rPr>
        <w:t>IMX2302</w:t>
      </w:r>
      <w:r w:rsidRPr="000E0E90">
        <w:rPr>
          <w:rFonts w:cstheme="majorHAnsi"/>
        </w:rPr>
        <w:t xml:space="preserve"> (</w:t>
      </w:r>
      <w:proofErr w:type="spellStart"/>
      <w:r w:rsidRPr="000E0E90">
        <w:rPr>
          <w:rFonts w:eastAsia="Calibri" w:cstheme="majorHAnsi"/>
          <w:sz w:val="20"/>
          <w:szCs w:val="20"/>
        </w:rPr>
        <w:t>MATa</w:t>
      </w:r>
      <w:proofErr w:type="spellEnd"/>
      <w:r w:rsidRPr="000E0E90">
        <w:rPr>
          <w:rFonts w:eastAsia="Calibri" w:cstheme="majorHAnsi"/>
          <w:sz w:val="20"/>
          <w:szCs w:val="20"/>
        </w:rPr>
        <w:t xml:space="preserve"> </w:t>
      </w:r>
      <w:r w:rsidRPr="000E0E90">
        <w:rPr>
          <w:rFonts w:eastAsia="Calibri" w:cstheme="majorHAnsi"/>
          <w:i/>
          <w:sz w:val="20"/>
          <w:szCs w:val="20"/>
        </w:rPr>
        <w:t>can1</w:t>
      </w:r>
      <w:r w:rsidRPr="000E0E90">
        <w:rPr>
          <w:rFonts w:eastAsia="Calibri" w:cstheme="majorHAnsi"/>
          <w:sz w:val="20"/>
          <w:szCs w:val="20"/>
        </w:rPr>
        <w:t>Δ::</w:t>
      </w:r>
      <w:r w:rsidRPr="000E0E90">
        <w:rPr>
          <w:rFonts w:eastAsia="Calibri" w:cstheme="majorHAnsi"/>
          <w:i/>
          <w:sz w:val="20"/>
          <w:szCs w:val="20"/>
        </w:rPr>
        <w:t>Spycas9</w:t>
      </w:r>
      <w:r w:rsidRPr="000E0E90">
        <w:rPr>
          <w:rFonts w:eastAsia="Calibri" w:cstheme="majorHAnsi"/>
          <w:sz w:val="20"/>
          <w:szCs w:val="20"/>
        </w:rPr>
        <w:t xml:space="preserve">-natNT2 </w:t>
      </w:r>
      <w:r w:rsidRPr="000E0E90">
        <w:rPr>
          <w:rFonts w:eastAsia="Calibri" w:cstheme="majorHAnsi"/>
          <w:i/>
          <w:sz w:val="20"/>
          <w:szCs w:val="20"/>
        </w:rPr>
        <w:t xml:space="preserve">URA3 </w:t>
      </w:r>
      <w:r w:rsidRPr="000E0E90">
        <w:rPr>
          <w:rFonts w:cstheme="majorHAnsi"/>
          <w:i/>
          <w:sz w:val="20"/>
          <w:szCs w:val="20"/>
        </w:rPr>
        <w:t>bna2</w:t>
      </w:r>
      <w:r w:rsidRPr="000E0E90">
        <w:rPr>
          <w:rFonts w:cstheme="majorHAnsi"/>
          <w:sz w:val="20"/>
          <w:szCs w:val="20"/>
        </w:rPr>
        <w:t xml:space="preserve">∆ </w:t>
      </w:r>
      <w:r w:rsidRPr="000E0E90">
        <w:rPr>
          <w:rFonts w:cstheme="majorHAnsi"/>
          <w:i/>
          <w:sz w:val="20"/>
          <w:szCs w:val="20"/>
        </w:rPr>
        <w:t>sga1</w:t>
      </w:r>
      <w:r w:rsidRPr="000E0E90">
        <w:rPr>
          <w:rFonts w:cstheme="majorHAnsi"/>
          <w:sz w:val="20"/>
          <w:szCs w:val="20"/>
        </w:rPr>
        <w:t>::p</w:t>
      </w:r>
      <w:r w:rsidRPr="000E0E90">
        <w:rPr>
          <w:rFonts w:cstheme="majorHAnsi"/>
          <w:i/>
          <w:sz w:val="20"/>
          <w:szCs w:val="20"/>
        </w:rPr>
        <w:t>TDH3</w:t>
      </w:r>
      <w:r w:rsidRPr="000E0E90">
        <w:rPr>
          <w:rFonts w:cstheme="majorHAnsi"/>
          <w:sz w:val="20"/>
          <w:szCs w:val="20"/>
        </w:rPr>
        <w:t>-</w:t>
      </w:r>
      <w:r w:rsidRPr="000E0E90">
        <w:rPr>
          <w:rFonts w:cstheme="majorHAnsi"/>
          <w:i/>
          <w:sz w:val="20"/>
          <w:szCs w:val="20"/>
        </w:rPr>
        <w:t>AtNADA</w:t>
      </w:r>
      <w:r w:rsidRPr="000E0E90">
        <w:rPr>
          <w:rFonts w:cstheme="majorHAnsi"/>
          <w:sz w:val="20"/>
          <w:szCs w:val="20"/>
        </w:rPr>
        <w:t>-t</w:t>
      </w:r>
      <w:r w:rsidRPr="000E0E90">
        <w:rPr>
          <w:rFonts w:cstheme="majorHAnsi"/>
          <w:i/>
          <w:sz w:val="20"/>
          <w:szCs w:val="20"/>
        </w:rPr>
        <w:t>ENO1</w:t>
      </w:r>
      <w:r w:rsidRPr="000E0E90">
        <w:rPr>
          <w:rFonts w:cstheme="majorHAnsi"/>
          <w:sz w:val="20"/>
          <w:szCs w:val="20"/>
        </w:rPr>
        <w:t xml:space="preserve"> p</w:t>
      </w:r>
      <w:r w:rsidRPr="000E0E90">
        <w:rPr>
          <w:rFonts w:cstheme="majorHAnsi"/>
          <w:i/>
          <w:sz w:val="20"/>
          <w:szCs w:val="20"/>
        </w:rPr>
        <w:t>CCW12-AtNADB</w:t>
      </w:r>
      <w:r w:rsidRPr="000E0E90">
        <w:rPr>
          <w:rFonts w:cstheme="majorHAnsi"/>
          <w:sz w:val="20"/>
          <w:szCs w:val="20"/>
        </w:rPr>
        <w:t>-t</w:t>
      </w:r>
      <w:r w:rsidRPr="000E0E90">
        <w:rPr>
          <w:rFonts w:cstheme="majorHAnsi"/>
          <w:i/>
          <w:sz w:val="20"/>
          <w:szCs w:val="20"/>
        </w:rPr>
        <w:t>ENO2</w:t>
      </w:r>
      <w:r w:rsidRPr="000E0E90">
        <w:rPr>
          <w:rFonts w:cstheme="majorHAnsi"/>
          <w:i/>
          <w:sz w:val="20"/>
          <w:szCs w:val="20"/>
        </w:rPr>
        <w:t xml:space="preserve">) </w:t>
      </w:r>
      <w:r w:rsidRPr="000E0E90">
        <w:rPr>
          <w:rFonts w:cstheme="majorHAnsi"/>
          <w:sz w:val="20"/>
          <w:szCs w:val="20"/>
        </w:rPr>
        <w:t>used to calculated displayed in Table 3</w:t>
      </w:r>
      <w:r w:rsidRPr="000E0E90">
        <w:rPr>
          <w:rFonts w:cstheme="majorHAnsi"/>
          <w:i/>
          <w:sz w:val="20"/>
          <w:szCs w:val="20"/>
        </w:rPr>
        <w:t>.</w:t>
      </w:r>
      <w:r w:rsidR="000E0E90" w:rsidRPr="000E0E90">
        <w:rPr>
          <w:rFonts w:cstheme="majorHAnsi"/>
          <w:i/>
          <w:sz w:val="20"/>
          <w:szCs w:val="20"/>
        </w:rPr>
        <w:t xml:space="preserve"> </w:t>
      </w:r>
    </w:p>
    <w:p w:rsidR="00584B1A" w:rsidRPr="00DD4321" w:rsidRDefault="00584B1A" w:rsidP="00584B1A">
      <w:pPr>
        <w:pStyle w:val="Heading3"/>
        <w:jc w:val="left"/>
      </w:pPr>
      <w:r w:rsidRPr="00DD4321">
        <w:t>Aerobic growth studies in shake flasks</w:t>
      </w:r>
    </w:p>
    <w:p w:rsidR="00584B1A" w:rsidRPr="00DD4321" w:rsidRDefault="00584B1A" w:rsidP="00584B1A">
      <w:r w:rsidRPr="00DD4321">
        <w:t xml:space="preserve">For the </w:t>
      </w:r>
      <w:r>
        <w:t>determination</w:t>
      </w:r>
      <w:r w:rsidRPr="00DD4321">
        <w:t xml:space="preserve"> of the </w:t>
      </w:r>
      <w:r>
        <w:t xml:space="preserve">specific </w:t>
      </w:r>
      <w:r w:rsidRPr="00DD4321">
        <w:t>growth rate of the engineered strains under aerobic conditions, a frozen aliquot was thawed and used to inoculate a 20 m</w:t>
      </w:r>
      <w:r>
        <w:t>L</w:t>
      </w:r>
      <w:r w:rsidRPr="00DD4321">
        <w:t xml:space="preserve"> wake-up culture that was then used to inoculate a pre-culture in a 100 m</w:t>
      </w:r>
      <w:r>
        <w:t>L</w:t>
      </w:r>
      <w:r w:rsidRPr="00DD4321">
        <w:t xml:space="preserve"> flask. The exponentially growing pre</w:t>
      </w:r>
      <w:r>
        <w:t>-</w:t>
      </w:r>
      <w:r w:rsidRPr="00DD4321">
        <w:t>culture was then used to inoculate a third flask to an initial OD</w:t>
      </w:r>
      <w:r w:rsidRPr="00DD4321">
        <w:rPr>
          <w:vertAlign w:val="subscript"/>
        </w:rPr>
        <w:t>660</w:t>
      </w:r>
      <w:r w:rsidRPr="00DD4321">
        <w:t xml:space="preserve"> of 0.2. The flasks were then incubated, and growth was monitored using a 7200 </w:t>
      </w:r>
      <w:proofErr w:type="spellStart"/>
      <w:r w:rsidRPr="00DD4321">
        <w:t>Jenway</w:t>
      </w:r>
      <w:proofErr w:type="spellEnd"/>
      <w:r w:rsidRPr="00DD4321">
        <w:t xml:space="preserve"> Spectrometer (</w:t>
      </w:r>
      <w:proofErr w:type="spellStart"/>
      <w:r w:rsidRPr="00DD4321">
        <w:t>Jenway</w:t>
      </w:r>
      <w:proofErr w:type="spellEnd"/>
      <w:r w:rsidRPr="00DD4321">
        <w:t>, Stone, U</w:t>
      </w:r>
      <w:r>
        <w:t xml:space="preserve">nited </w:t>
      </w:r>
      <w:r w:rsidRPr="00DD4321">
        <w:t>K</w:t>
      </w:r>
      <w:r>
        <w:t>ingdom</w:t>
      </w:r>
      <w:r w:rsidRPr="00DD4321">
        <w:t xml:space="preserve">). Specific growth rates were calculated from at least five time-points in the </w:t>
      </w:r>
      <w:r w:rsidRPr="00DD4321">
        <w:lastRenderedPageBreak/>
        <w:t xml:space="preserve">exponential growth phase of each culture. Wake-up and pre-cultures of IMX2301 and IMX2302 were grown in </w:t>
      </w:r>
      <w:proofErr w:type="spellStart"/>
      <w:r w:rsidRPr="00DD4321">
        <w:t>SMD</w:t>
      </w:r>
      <w:r w:rsidRPr="00DD4321">
        <w:rPr>
          <w:rFonts w:cstheme="minorHAnsi"/>
        </w:rPr>
        <w:t>∆</w:t>
      </w:r>
      <w:r w:rsidRPr="00DD4321">
        <w:t>nic</w:t>
      </w:r>
      <w:proofErr w:type="spellEnd"/>
      <w:r w:rsidRPr="00DD4321">
        <w:t xml:space="preserve">. Wake-up and pre-cultures of IMX2300 and IMX2305 were grown in </w:t>
      </w:r>
      <w:proofErr w:type="spellStart"/>
      <w:r>
        <w:t>SMD∆pan</w:t>
      </w:r>
      <w:proofErr w:type="spellEnd"/>
      <w:r w:rsidRPr="00DD4321">
        <w:t xml:space="preserve"> while wake-up and pre-cultures of IMK877 and IMX2292 were grown in SMD. </w:t>
      </w:r>
    </w:p>
    <w:p w:rsidR="00584B1A" w:rsidRPr="000E0E90" w:rsidRDefault="00584B1A" w:rsidP="000E0E90">
      <w:pPr>
        <w:jc w:val="left"/>
        <w:rPr>
          <w:rFonts w:cstheme="majorHAnsi"/>
        </w:rPr>
      </w:pPr>
      <w:bookmarkStart w:id="0" w:name="_GoBack"/>
      <w:bookmarkEnd w:id="0"/>
    </w:p>
    <w:sectPr w:rsidR="00584B1A" w:rsidRPr="000E0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A8F"/>
    <w:rsid w:val="000E0E90"/>
    <w:rsid w:val="00584B1A"/>
    <w:rsid w:val="006616A6"/>
    <w:rsid w:val="00941096"/>
    <w:rsid w:val="00D11A8F"/>
    <w:rsid w:val="00E70C65"/>
    <w:rsid w:val="00FC4D86"/>
    <w:rsid w:val="00FF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CD468"/>
  <w15:chartTrackingRefBased/>
  <w15:docId w15:val="{935E7568-4C34-476C-86FF-E5FF7633C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1A8F"/>
    <w:pPr>
      <w:spacing w:after="0" w:line="480" w:lineRule="auto"/>
      <w:jc w:val="both"/>
    </w:pPr>
    <w:rPr>
      <w:rFonts w:asciiTheme="majorHAnsi" w:eastAsiaTheme="minorEastAsia" w:hAnsiTheme="majorHAnsi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0C65"/>
    <w:pPr>
      <w:keepNext/>
      <w:spacing w:before="240" w:after="60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0C65"/>
    <w:pPr>
      <w:keepNext/>
      <w:keepLines/>
      <w:spacing w:before="40"/>
      <w:outlineLvl w:val="2"/>
    </w:pPr>
    <w:rPr>
      <w:rFonts w:eastAsiaTheme="majorEastAsia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rsid w:val="00FC4D86"/>
    <w:pPr>
      <w:keepNext/>
    </w:pPr>
    <w:rPr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E70C65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0C6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E70C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Marc Daran - TNW</dc:creator>
  <cp:keywords/>
  <dc:description/>
  <cp:lastModifiedBy>Jean Marc Daran - TNW</cp:lastModifiedBy>
  <cp:revision>2</cp:revision>
  <dcterms:created xsi:type="dcterms:W3CDTF">2020-07-01T14:47:00Z</dcterms:created>
  <dcterms:modified xsi:type="dcterms:W3CDTF">2020-07-01T15:40:00Z</dcterms:modified>
</cp:coreProperties>
</file>