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5C0EF" w14:textId="77777777" w:rsidR="00777784" w:rsidRDefault="00000000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Variable definitions and descriptions</w:t>
      </w:r>
    </w:p>
    <w:tbl>
      <w:tblPr>
        <w:tblStyle w:val="a3"/>
        <w:tblW w:w="9596" w:type="dxa"/>
        <w:tblInd w:w="-64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1701"/>
        <w:gridCol w:w="1397"/>
        <w:gridCol w:w="4275"/>
        <w:gridCol w:w="874"/>
      </w:tblGrid>
      <w:tr w:rsidR="009A0302" w14:paraId="395AAF1C" w14:textId="77777777" w:rsidTr="009A0302">
        <w:tc>
          <w:tcPr>
            <w:tcW w:w="134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402497B" w14:textId="77777777" w:rsidR="009A0302" w:rsidRDefault="009A0302" w:rsidP="00046F02">
            <w:r>
              <w:t>Types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6C9A776" w14:textId="77777777" w:rsidR="009A0302" w:rsidRDefault="009A0302" w:rsidP="00046F02">
            <w:r>
              <w:t xml:space="preserve"> Name</w:t>
            </w:r>
          </w:p>
        </w:tc>
        <w:tc>
          <w:tcPr>
            <w:tcW w:w="139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12A210E" w14:textId="77777777" w:rsidR="009A0302" w:rsidRDefault="009A0302" w:rsidP="00046F02">
            <w:r>
              <w:t>Variable</w:t>
            </w:r>
          </w:p>
        </w:tc>
        <w:tc>
          <w:tcPr>
            <w:tcW w:w="427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842B8A1" w14:textId="77777777" w:rsidR="009A0302" w:rsidRDefault="009A0302" w:rsidP="00046F02">
            <w:r>
              <w:t>Description</w:t>
            </w:r>
          </w:p>
        </w:tc>
        <w:tc>
          <w:tcPr>
            <w:tcW w:w="874" w:type="dxa"/>
            <w:tcBorders>
              <w:bottom w:val="single" w:sz="4" w:space="0" w:color="000000"/>
            </w:tcBorders>
            <w:shd w:val="clear" w:color="auto" w:fill="FFFFFF"/>
          </w:tcPr>
          <w:p w14:paraId="42B1C837" w14:textId="77777777" w:rsidR="009A0302" w:rsidRDefault="009A0302" w:rsidP="00046F02">
            <w:r>
              <w:t>Unit</w:t>
            </w:r>
          </w:p>
        </w:tc>
      </w:tr>
      <w:tr w:rsidR="009A0302" w14:paraId="4A91014F" w14:textId="77777777" w:rsidTr="009A0302">
        <w:tc>
          <w:tcPr>
            <w:tcW w:w="1349" w:type="dxa"/>
            <w:vMerge w:val="restart"/>
            <w:tcBorders>
              <w:top w:val="single" w:sz="4" w:space="0" w:color="000000"/>
              <w:tl2br w:val="nil"/>
              <w:tr2bl w:val="nil"/>
            </w:tcBorders>
            <w:shd w:val="clear" w:color="auto" w:fill="FFFFFF"/>
          </w:tcPr>
          <w:p w14:paraId="66FCA9CC" w14:textId="77777777" w:rsidR="009A0302" w:rsidRDefault="009A0302" w:rsidP="00046F02">
            <w:r>
              <w:t>Explained variable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tl2br w:val="nil"/>
              <w:tr2bl w:val="nil"/>
            </w:tcBorders>
            <w:shd w:val="clear" w:color="auto" w:fill="FFFFFF"/>
          </w:tcPr>
          <w:p w14:paraId="060AF525" w14:textId="031A9E21" w:rsidR="009A0302" w:rsidRDefault="009A0302" w:rsidP="00046F02">
            <w:r>
              <w:t xml:space="preserve">Corporate ESG </w:t>
            </w:r>
            <w:r>
              <w:rPr>
                <w:rFonts w:hint="eastAsia"/>
              </w:rPr>
              <w:t>P</w:t>
            </w:r>
            <w:r>
              <w:t xml:space="preserve">erformance </w:t>
            </w:r>
          </w:p>
        </w:tc>
        <w:tc>
          <w:tcPr>
            <w:tcW w:w="1397" w:type="dxa"/>
            <w:tcBorders>
              <w:top w:val="single" w:sz="4" w:space="0" w:color="000000"/>
              <w:tl2br w:val="nil"/>
              <w:tr2bl w:val="nil"/>
            </w:tcBorders>
            <w:shd w:val="clear" w:color="auto" w:fill="FFFFFF"/>
          </w:tcPr>
          <w:p w14:paraId="6D6B2D7B" w14:textId="77777777" w:rsidR="009A0302" w:rsidRDefault="009A0302" w:rsidP="00046F02">
            <w:r>
              <w:rPr>
                <w:rFonts w:hint="eastAsia"/>
              </w:rPr>
              <w:t>ESG1</w:t>
            </w:r>
          </w:p>
        </w:tc>
        <w:tc>
          <w:tcPr>
            <w:tcW w:w="4275" w:type="dxa"/>
            <w:tcBorders>
              <w:top w:val="single" w:sz="4" w:space="0" w:color="000000"/>
              <w:tl2br w:val="nil"/>
              <w:tr2bl w:val="nil"/>
            </w:tcBorders>
            <w:shd w:val="clear" w:color="auto" w:fill="FFFFFF"/>
          </w:tcPr>
          <w:p w14:paraId="43BCCBDB" w14:textId="77777777" w:rsidR="009A0302" w:rsidRDefault="009A0302" w:rsidP="00046F02">
            <w:r>
              <w:t xml:space="preserve">Quarterly </w:t>
            </w:r>
            <w:r>
              <w:rPr>
                <w:rFonts w:hint="eastAsia"/>
              </w:rPr>
              <w:t>m</w:t>
            </w:r>
            <w:r>
              <w:t xml:space="preserve">ean of the </w:t>
            </w:r>
            <w:proofErr w:type="spellStart"/>
            <w:r>
              <w:t>Huazheng</w:t>
            </w:r>
            <w:proofErr w:type="spellEnd"/>
            <w:r>
              <w:t xml:space="preserve"> ESG Score</w:t>
            </w:r>
          </w:p>
        </w:tc>
        <w:tc>
          <w:tcPr>
            <w:tcW w:w="874" w:type="dxa"/>
            <w:tcBorders>
              <w:top w:val="single" w:sz="4" w:space="0" w:color="000000"/>
              <w:tl2br w:val="nil"/>
              <w:tr2bl w:val="nil"/>
            </w:tcBorders>
            <w:shd w:val="clear" w:color="auto" w:fill="FFFFFF"/>
          </w:tcPr>
          <w:p w14:paraId="3CE57A48" w14:textId="77777777" w:rsidR="009A0302" w:rsidRDefault="009A0302" w:rsidP="00046F02">
            <w:r>
              <w:rPr>
                <w:rFonts w:hint="eastAsia"/>
              </w:rPr>
              <w:t>-</w:t>
            </w:r>
          </w:p>
        </w:tc>
      </w:tr>
      <w:tr w:rsidR="009A0302" w14:paraId="44D8FF5D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37EC15C8" w14:textId="77777777" w:rsidR="009A0302" w:rsidRDefault="009A0302" w:rsidP="00046F02"/>
        </w:tc>
        <w:tc>
          <w:tcPr>
            <w:tcW w:w="1701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770C6A93" w14:textId="77777777" w:rsidR="009A0302" w:rsidRDefault="009A0302" w:rsidP="00046F02"/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32619033" w14:textId="77777777" w:rsidR="009A0302" w:rsidRDefault="009A0302" w:rsidP="00046F02">
            <w:r>
              <w:rPr>
                <w:rFonts w:hint="eastAsia"/>
              </w:rPr>
              <w:t>ESG2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63E5C5AC" w14:textId="77777777" w:rsidR="009A0302" w:rsidRDefault="009A0302" w:rsidP="00046F02">
            <w:r>
              <w:t xml:space="preserve">Quarterly </w:t>
            </w:r>
            <w:r>
              <w:rPr>
                <w:rFonts w:hint="eastAsia"/>
              </w:rPr>
              <w:t>m</w:t>
            </w:r>
            <w:r>
              <w:t xml:space="preserve">ean of </w:t>
            </w:r>
            <w:proofErr w:type="spellStart"/>
            <w:r>
              <w:t>Huazheng</w:t>
            </w:r>
            <w:proofErr w:type="spellEnd"/>
            <w:r>
              <w:t xml:space="preserve"> ESG Rating Scores </w:t>
            </w:r>
            <w:r>
              <w:rPr>
                <w:rFonts w:hint="eastAsia"/>
              </w:rPr>
              <w:t>a</w:t>
            </w:r>
            <w:r>
              <w:t xml:space="preserve">ssigned on a 1–9 </w:t>
            </w:r>
            <w:r>
              <w:rPr>
                <w:rFonts w:hint="eastAsia"/>
              </w:rPr>
              <w:t>s</w:t>
            </w:r>
            <w:r>
              <w:t>cale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00DD4CD4" w14:textId="77777777" w:rsidR="009A0302" w:rsidRDefault="009A0302" w:rsidP="00046F02">
            <w:r>
              <w:rPr>
                <w:rFonts w:hint="eastAsia"/>
              </w:rPr>
              <w:t>-</w:t>
            </w:r>
          </w:p>
        </w:tc>
      </w:tr>
      <w:tr w:rsidR="009A0302" w14:paraId="22B0BE37" w14:textId="77777777" w:rsidTr="009A0302">
        <w:trPr>
          <w:trHeight w:val="312"/>
        </w:trPr>
        <w:tc>
          <w:tcPr>
            <w:tcW w:w="134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53C95BEA" w14:textId="77777777" w:rsidR="009A0302" w:rsidRDefault="009A0302" w:rsidP="00046F02">
            <w:r>
              <w:t>Core Explanatory Variable</w:t>
            </w:r>
          </w:p>
        </w:tc>
        <w:tc>
          <w:tcPr>
            <w:tcW w:w="1701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6ED81019" w14:textId="77777777" w:rsidR="009A0302" w:rsidRDefault="009A0302" w:rsidP="00046F02">
            <w:r>
              <w:t xml:space="preserve">Qualified </w:t>
            </w:r>
            <w:r>
              <w:rPr>
                <w:rFonts w:hint="eastAsia"/>
              </w:rPr>
              <w:t>F</w:t>
            </w:r>
            <w:r>
              <w:t xml:space="preserve">oreign </w:t>
            </w:r>
            <w:r>
              <w:rPr>
                <w:rFonts w:hint="eastAsia"/>
              </w:rPr>
              <w:t>I</w:t>
            </w:r>
            <w:r>
              <w:t xml:space="preserve">nstitutional </w:t>
            </w:r>
            <w:r>
              <w:rPr>
                <w:rFonts w:hint="eastAsia"/>
              </w:rPr>
              <w:t>I</w:t>
            </w:r>
            <w:r>
              <w:t>nvestor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71EE8517" w14:textId="77777777" w:rsidR="009A0302" w:rsidRDefault="009A0302" w:rsidP="00046F02">
            <w:r>
              <w:rPr>
                <w:rFonts w:hint="eastAsia"/>
              </w:rPr>
              <w:t>QFII1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6674C6DA" w14:textId="77777777" w:rsidR="009A0302" w:rsidRDefault="009A0302" w:rsidP="00046F02">
            <w:r>
              <w:t xml:space="preserve">Quarterly </w:t>
            </w:r>
            <w:r>
              <w:rPr>
                <w:rFonts w:hint="eastAsia"/>
              </w:rPr>
              <w:t>m</w:t>
            </w:r>
            <w:r>
              <w:t xml:space="preserve">ean of QFII </w:t>
            </w:r>
            <w:r>
              <w:rPr>
                <w:rFonts w:hint="eastAsia"/>
              </w:rPr>
              <w:t>s</w:t>
            </w:r>
            <w:r>
              <w:t>hareholdings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28FD9102" w14:textId="77777777" w:rsidR="009A0302" w:rsidRDefault="009A0302" w:rsidP="00046F02">
            <w:r>
              <w:t>million shares</w:t>
            </w:r>
          </w:p>
        </w:tc>
      </w:tr>
      <w:tr w:rsidR="009A0302" w14:paraId="2B389563" w14:textId="77777777" w:rsidTr="009A0302">
        <w:trPr>
          <w:trHeight w:val="312"/>
        </w:trPr>
        <w:tc>
          <w:tcPr>
            <w:tcW w:w="134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717DF834" w14:textId="77777777" w:rsidR="009A0302" w:rsidRDefault="009A0302" w:rsidP="00046F02"/>
        </w:tc>
        <w:tc>
          <w:tcPr>
            <w:tcW w:w="1701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08A7D3E3" w14:textId="77777777" w:rsidR="009A0302" w:rsidRDefault="009A0302" w:rsidP="00046F02"/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29785BA5" w14:textId="77777777" w:rsidR="009A0302" w:rsidRDefault="009A0302" w:rsidP="00046F02">
            <w:r>
              <w:rPr>
                <w:rFonts w:hint="eastAsia"/>
              </w:rPr>
              <w:t>QFII2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09609AEB" w14:textId="77777777" w:rsidR="009A0302" w:rsidRDefault="009A0302" w:rsidP="00046F02">
            <w:r>
              <w:t xml:space="preserve">Quarterly </w:t>
            </w:r>
            <w:r>
              <w:rPr>
                <w:rFonts w:hint="eastAsia"/>
              </w:rPr>
              <w:t>m</w:t>
            </w:r>
            <w:r>
              <w:t xml:space="preserve">ean of (QFII </w:t>
            </w:r>
            <w:r>
              <w:rPr>
                <w:rFonts w:hint="eastAsia"/>
              </w:rPr>
              <w:t>o</w:t>
            </w:r>
            <w:r>
              <w:t xml:space="preserve">wnership </w:t>
            </w:r>
            <w:r>
              <w:rPr>
                <w:rFonts w:hint="eastAsia"/>
              </w:rPr>
              <w:t>r</w:t>
            </w:r>
            <w:r>
              <w:t xml:space="preserve">atio / Largest </w:t>
            </w:r>
            <w:r>
              <w:rPr>
                <w:rFonts w:hint="eastAsia"/>
              </w:rPr>
              <w:t>s</w:t>
            </w:r>
            <w:r>
              <w:t xml:space="preserve">hareholder’s </w:t>
            </w:r>
            <w:r>
              <w:rPr>
                <w:rFonts w:hint="eastAsia"/>
              </w:rPr>
              <w:t>o</w:t>
            </w:r>
            <w:r>
              <w:t xml:space="preserve">wnership </w:t>
            </w:r>
            <w:r>
              <w:rPr>
                <w:rFonts w:hint="eastAsia"/>
              </w:rPr>
              <w:t>r</w:t>
            </w:r>
            <w:r>
              <w:t>atio)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5A23D1E8" w14:textId="77777777" w:rsidR="009A0302" w:rsidRDefault="009A0302" w:rsidP="00046F02">
            <w:r>
              <w:rPr>
                <w:rFonts w:hint="eastAsia"/>
              </w:rPr>
              <w:t>%</w:t>
            </w:r>
          </w:p>
        </w:tc>
      </w:tr>
      <w:tr w:rsidR="009A0302" w14:paraId="1CDE0D54" w14:textId="77777777" w:rsidTr="009A0302">
        <w:tc>
          <w:tcPr>
            <w:tcW w:w="134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34C7C438" w14:textId="77777777" w:rsidR="009A0302" w:rsidRDefault="009A0302" w:rsidP="00046F02">
            <w:r>
              <w:t xml:space="preserve">Mediating </w:t>
            </w:r>
            <w:r>
              <w:rPr>
                <w:rFonts w:hint="eastAsia"/>
              </w:rPr>
              <w:t>V</w:t>
            </w:r>
            <w:r>
              <w:t>ariables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6EBF563B" w14:textId="7EBB4059" w:rsidR="009A0302" w:rsidRDefault="009A0302" w:rsidP="00046F02">
            <w:r>
              <w:t>Green Technology Innovation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3D5C16FC" w14:textId="77777777" w:rsidR="009A0302" w:rsidRDefault="009A0302" w:rsidP="00046F02">
            <w:r>
              <w:rPr>
                <w:rFonts w:hint="eastAsia"/>
              </w:rPr>
              <w:t>GTI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10EA9DA3" w14:textId="77777777" w:rsidR="009A0302" w:rsidRDefault="009A0302" w:rsidP="00046F02">
            <w:r>
              <w:t xml:space="preserve"> </w:t>
            </w:r>
            <w:proofErr w:type="gramStart"/>
            <w:r>
              <w:t>ln(</w:t>
            </w:r>
            <w:proofErr w:type="gramEnd"/>
            <w:r>
              <w:t>number of green invention</w:t>
            </w:r>
            <w:r>
              <w:rPr>
                <w:rFonts w:hint="eastAsia"/>
              </w:rPr>
              <w:t xml:space="preserve"> </w:t>
            </w:r>
            <w:r>
              <w:t>patent applications</w:t>
            </w:r>
            <w:r>
              <w:rPr>
                <w:rFonts w:hint="eastAsia"/>
              </w:rPr>
              <w:t xml:space="preserve"> and </w:t>
            </w:r>
            <w:r>
              <w:t>green utility model patents + 1)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13AE32C3" w14:textId="77777777" w:rsidR="009A0302" w:rsidRDefault="009A0302" w:rsidP="00046F02">
            <w:r>
              <w:rPr>
                <w:rFonts w:hint="eastAsia"/>
              </w:rPr>
              <w:t>-</w:t>
            </w:r>
          </w:p>
        </w:tc>
      </w:tr>
      <w:tr w:rsidR="009A0302" w14:paraId="63B92FCE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</w:tcPr>
          <w:p w14:paraId="0DB2029F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011B3C99" w14:textId="77777777" w:rsidR="009A0302" w:rsidRDefault="009A0302" w:rsidP="00046F02">
            <w:r>
              <w:t>Green Investment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0CF05ADB" w14:textId="77777777" w:rsidR="009A0302" w:rsidRDefault="009A0302" w:rsidP="00046F02">
            <w:r>
              <w:rPr>
                <w:rFonts w:hint="eastAsia"/>
              </w:rPr>
              <w:t>GI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7BDA298C" w14:textId="77777777" w:rsidR="009A0302" w:rsidRDefault="009A0302" w:rsidP="00046F02">
            <w:r>
              <w:t>Total green investment expenditure/</w:t>
            </w:r>
            <w:r>
              <w:rPr>
                <w:rFonts w:hint="eastAsia"/>
              </w:rPr>
              <w:t>T</w:t>
            </w:r>
            <w:r>
              <w:t>otal assets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7B78C8B8" w14:textId="77777777" w:rsidR="009A0302" w:rsidRDefault="009A0302" w:rsidP="00046F02"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505D3828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</w:tcPr>
          <w:p w14:paraId="526BE081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0F909992" w14:textId="77777777" w:rsidR="009A0302" w:rsidRDefault="009A0302" w:rsidP="00046F02">
            <w:r>
              <w:t>Green Expenses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39602E50" w14:textId="77777777" w:rsidR="009A0302" w:rsidRDefault="009A0302" w:rsidP="00046F02">
            <w:r>
              <w:rPr>
                <w:rFonts w:hint="eastAsia"/>
              </w:rPr>
              <w:t>GE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39DD7659" w14:textId="77777777" w:rsidR="009A0302" w:rsidRDefault="009A0302" w:rsidP="00046F02">
            <w:r>
              <w:t>Total environmental management costs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00121285" w14:textId="77777777" w:rsidR="009A0302" w:rsidRDefault="009A0302" w:rsidP="00046F02">
            <w:r>
              <w:t>million RMB</w:t>
            </w:r>
          </w:p>
        </w:tc>
      </w:tr>
      <w:tr w:rsidR="009A0302" w14:paraId="65F9296F" w14:textId="77777777" w:rsidTr="009A0302">
        <w:tc>
          <w:tcPr>
            <w:tcW w:w="1349" w:type="dxa"/>
            <w:tcBorders>
              <w:tl2br w:val="nil"/>
              <w:tr2bl w:val="nil"/>
            </w:tcBorders>
          </w:tcPr>
          <w:p w14:paraId="23402715" w14:textId="77777777" w:rsidR="009A0302" w:rsidRDefault="009A0302" w:rsidP="00046F02">
            <w:r>
              <w:rPr>
                <w:rFonts w:hint="eastAsia"/>
              </w:rPr>
              <w:t>M</w:t>
            </w:r>
            <w:r>
              <w:t xml:space="preserve">oderating </w:t>
            </w:r>
            <w:r>
              <w:rPr>
                <w:rFonts w:hint="eastAsia"/>
              </w:rPr>
              <w:t>V</w:t>
            </w:r>
            <w:r>
              <w:t>ariable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6F281BDB" w14:textId="77777777" w:rsidR="009A0302" w:rsidRDefault="009A0302" w:rsidP="00046F02">
            <w:r>
              <w:t xml:space="preserve">Information Transparency 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70C1887B" w14:textId="77777777" w:rsidR="009A0302" w:rsidRDefault="009A0302" w:rsidP="00046F02">
            <w:r>
              <w:rPr>
                <w:rFonts w:hint="eastAsia"/>
              </w:rPr>
              <w:t>TRANS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4B9DD47D" w14:textId="77777777" w:rsidR="009A0302" w:rsidRDefault="009A0302" w:rsidP="00046F02">
            <w:r>
              <w:t>Constructed from percentile means of five</w:t>
            </w:r>
          </w:p>
          <w:p w14:paraId="00ED985B" w14:textId="77777777" w:rsidR="009A0302" w:rsidRDefault="009A0302" w:rsidP="00046F02">
            <w:r>
              <w:t>transparency-related variables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35FA7F7A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</w:t>
            </w:r>
          </w:p>
        </w:tc>
      </w:tr>
      <w:tr w:rsidR="009A0302" w14:paraId="130FC6AE" w14:textId="77777777" w:rsidTr="009A0302">
        <w:tc>
          <w:tcPr>
            <w:tcW w:w="1349" w:type="dxa"/>
            <w:vMerge w:val="restart"/>
            <w:tcBorders>
              <w:tl2br w:val="nil"/>
              <w:tr2bl w:val="nil"/>
            </w:tcBorders>
            <w:shd w:val="clear" w:color="auto" w:fill="FFFFFF"/>
          </w:tcPr>
          <w:p w14:paraId="22B782E2" w14:textId="77777777" w:rsidR="009A0302" w:rsidRDefault="009A0302" w:rsidP="00046F02">
            <w:r>
              <w:t>Control variables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7524DFBB" w14:textId="77777777" w:rsidR="009A0302" w:rsidRDefault="009A0302" w:rsidP="00046F02">
            <w:r>
              <w:t>Domestic institutional investor shareholdings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22A7FBA7" w14:textId="77777777" w:rsidR="009A0302" w:rsidRDefault="009A0302" w:rsidP="00046F02">
            <w:r>
              <w:rPr>
                <w:rFonts w:hint="eastAsia"/>
              </w:rPr>
              <w:t>DII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216DECBE" w14:textId="77777777" w:rsidR="009A0302" w:rsidRDefault="009A0302" w:rsidP="00046F02">
            <w:r>
              <w:t>Shareholding of Domestic Institutional Investors / Total Shares Outstanding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111FFBE9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4B2C92EF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shd w:val="clear" w:color="auto" w:fill="FFFFFF"/>
          </w:tcPr>
          <w:p w14:paraId="5F45BB0E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1125EA9F" w14:textId="77777777" w:rsidR="009A0302" w:rsidRDefault="009A0302" w:rsidP="00046F02">
            <w:r>
              <w:t xml:space="preserve">Return On Assets 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76A683C4" w14:textId="77777777" w:rsidR="009A0302" w:rsidRDefault="009A0302" w:rsidP="00046F02">
            <w:r>
              <w:rPr>
                <w:rFonts w:hint="eastAsia"/>
              </w:rPr>
              <w:t>ROA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6D19E445" w14:textId="77777777" w:rsidR="009A0302" w:rsidRDefault="009A0302" w:rsidP="00046F02">
            <w:r>
              <w:t>Operating profit for the year/Total assets at the</w:t>
            </w:r>
            <w:r>
              <w:rPr>
                <w:rFonts w:hint="eastAsia"/>
              </w:rPr>
              <w:t xml:space="preserve"> </w:t>
            </w:r>
            <w:r>
              <w:t>end of the year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155724D4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17E8F28F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080DC454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13317467" w14:textId="77777777" w:rsidR="009A0302" w:rsidRDefault="009A0302" w:rsidP="00046F02">
            <w:r>
              <w:t>Ratio of Independent</w:t>
            </w:r>
            <w:r>
              <w:rPr>
                <w:rFonts w:hint="eastAsia"/>
              </w:rPr>
              <w:t xml:space="preserve"> D</w:t>
            </w:r>
            <w:r>
              <w:t>irectors</w:t>
            </w:r>
          </w:p>
          <w:p w14:paraId="6B4B5B7F" w14:textId="77777777" w:rsidR="009A0302" w:rsidRDefault="009A0302" w:rsidP="00046F02">
            <w:r>
              <w:t>Directors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45020D4C" w14:textId="77777777" w:rsidR="009A0302" w:rsidRDefault="009A0302" w:rsidP="00046F02">
            <w:r>
              <w:rPr>
                <w:rFonts w:hint="eastAsia"/>
              </w:rPr>
              <w:t>INDEP</w:t>
            </w:r>
          </w:p>
        </w:tc>
        <w:tc>
          <w:tcPr>
            <w:tcW w:w="4275" w:type="dxa"/>
            <w:tcBorders>
              <w:tl2br w:val="nil"/>
              <w:tr2bl w:val="nil"/>
            </w:tcBorders>
          </w:tcPr>
          <w:p w14:paraId="7AC507AE" w14:textId="77777777" w:rsidR="009A0302" w:rsidRDefault="009A0302" w:rsidP="00046F02">
            <w:r>
              <w:t>Number of independent directors/Number</w:t>
            </w:r>
          </w:p>
          <w:p w14:paraId="73C48DB4" w14:textId="77777777" w:rsidR="009A0302" w:rsidRDefault="009A0302" w:rsidP="00046F02">
            <w:r>
              <w:t>of directors</w:t>
            </w:r>
          </w:p>
        </w:tc>
        <w:tc>
          <w:tcPr>
            <w:tcW w:w="874" w:type="dxa"/>
            <w:tcBorders>
              <w:tl2br w:val="nil"/>
              <w:tr2bl w:val="nil"/>
            </w:tcBorders>
          </w:tcPr>
          <w:p w14:paraId="567D1705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4D614832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5EAE2653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5A0117D7" w14:textId="77777777" w:rsidR="009A0302" w:rsidRDefault="009A0302" w:rsidP="00046F02">
            <w:r>
              <w:t>Fixed Assets Ratio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76FC7D33" w14:textId="77777777" w:rsidR="009A0302" w:rsidRDefault="009A0302" w:rsidP="00046F02">
            <w:r>
              <w:rPr>
                <w:rFonts w:hint="eastAsia"/>
              </w:rPr>
              <w:t>FAP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4F5C1586" w14:textId="77777777" w:rsidR="009A0302" w:rsidRDefault="009A0302" w:rsidP="00046F02">
            <w:r>
              <w:t>Net fixed assets/</w:t>
            </w:r>
            <w:r>
              <w:rPr>
                <w:rFonts w:hint="eastAsia"/>
              </w:rPr>
              <w:t>T</w:t>
            </w:r>
            <w:r>
              <w:t>otal assets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1AB2833C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1E5536EE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281B973C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45858FF2" w14:textId="77777777" w:rsidR="009A0302" w:rsidRDefault="009A0302" w:rsidP="00046F02">
            <w:proofErr w:type="spellStart"/>
            <w:r>
              <w:t>TobinQ</w:t>
            </w:r>
            <w:proofErr w:type="spellEnd"/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2FF004C4" w14:textId="77777777" w:rsidR="009A0302" w:rsidRDefault="009A0302" w:rsidP="00046F02">
            <w:proofErr w:type="spellStart"/>
            <w:r>
              <w:t>TobinQ</w:t>
            </w:r>
            <w:proofErr w:type="spellEnd"/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25F3A27B" w14:textId="77777777" w:rsidR="009A0302" w:rsidRDefault="009A0302" w:rsidP="00046F02">
            <w:r>
              <w:t>Market capitalization / (</w:t>
            </w:r>
            <w:r>
              <w:rPr>
                <w:rFonts w:hint="eastAsia"/>
              </w:rPr>
              <w:t>T</w:t>
            </w:r>
            <w:r>
              <w:t xml:space="preserve">otal assets - </w:t>
            </w:r>
            <w:r>
              <w:rPr>
                <w:rFonts w:hint="eastAsia"/>
              </w:rPr>
              <w:t>N</w:t>
            </w:r>
            <w:r>
              <w:t xml:space="preserve">et intangible assets - </w:t>
            </w:r>
            <w:r>
              <w:rPr>
                <w:rFonts w:hint="eastAsia"/>
              </w:rPr>
              <w:t>N</w:t>
            </w:r>
            <w:r>
              <w:t>et goodwill)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0EAD02E8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</w:t>
            </w:r>
          </w:p>
        </w:tc>
      </w:tr>
      <w:tr w:rsidR="009A0302" w14:paraId="78F44ED8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4629083A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2F2D62A7" w14:textId="77777777" w:rsidR="009A0302" w:rsidRDefault="009A0302" w:rsidP="00046F02">
            <w:r>
              <w:t>Financial Leverage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7B2E6260" w14:textId="77777777" w:rsidR="009A0302" w:rsidRDefault="009A0302" w:rsidP="00046F02">
            <w:r>
              <w:rPr>
                <w:rFonts w:hint="eastAsia"/>
              </w:rPr>
              <w:t>LEV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3D81088B" w14:textId="77777777" w:rsidR="009A0302" w:rsidRDefault="009A0302" w:rsidP="00046F02">
            <w:r>
              <w:t>Total liabilities/</w:t>
            </w:r>
            <w:r>
              <w:rPr>
                <w:rFonts w:hint="eastAsia"/>
              </w:rPr>
              <w:t>T</w:t>
            </w:r>
            <w:r>
              <w:t>otal assets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1A318627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%</w:t>
            </w:r>
          </w:p>
        </w:tc>
      </w:tr>
      <w:tr w:rsidR="009A0302" w14:paraId="6FCCFC70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4F81BC03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3F16AF8F" w14:textId="77777777" w:rsidR="009A0302" w:rsidRDefault="009A0302" w:rsidP="00046F02">
            <w:r>
              <w:t>Corporate Size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6459CD13" w14:textId="77777777" w:rsidR="009A0302" w:rsidRDefault="009A0302" w:rsidP="00046F02">
            <w:r>
              <w:rPr>
                <w:rFonts w:hint="eastAsia"/>
              </w:rPr>
              <w:t xml:space="preserve">SIZE 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641D40B8" w14:textId="77777777" w:rsidR="009A0302" w:rsidRDefault="009A0302" w:rsidP="00046F02">
            <w:r>
              <w:rPr>
                <w:rFonts w:hint="eastAsia"/>
              </w:rPr>
              <w:t>T</w:t>
            </w:r>
            <w:r>
              <w:t>otal assets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5148C57C" w14:textId="77777777" w:rsidR="009A0302" w:rsidRDefault="009A0302" w:rsidP="00046F0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million RMB</w:t>
            </w:r>
          </w:p>
        </w:tc>
      </w:tr>
      <w:tr w:rsidR="009A0302" w14:paraId="3A81C217" w14:textId="77777777" w:rsidTr="009A0302">
        <w:tc>
          <w:tcPr>
            <w:tcW w:w="1349" w:type="dxa"/>
            <w:vMerge/>
            <w:tcBorders>
              <w:tl2br w:val="nil"/>
              <w:tr2bl w:val="nil"/>
            </w:tcBorders>
            <w:vAlign w:val="center"/>
          </w:tcPr>
          <w:p w14:paraId="25FD3F16" w14:textId="77777777" w:rsidR="009A0302" w:rsidRDefault="009A0302" w:rsidP="00046F02"/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FFFFFF"/>
          </w:tcPr>
          <w:p w14:paraId="7F6A0621" w14:textId="77777777" w:rsidR="009A0302" w:rsidRDefault="009A0302" w:rsidP="00046F02">
            <w:r>
              <w:t xml:space="preserve">Cash Flow Ratio </w:t>
            </w:r>
          </w:p>
        </w:tc>
        <w:tc>
          <w:tcPr>
            <w:tcW w:w="1397" w:type="dxa"/>
            <w:tcBorders>
              <w:tl2br w:val="nil"/>
              <w:tr2bl w:val="nil"/>
            </w:tcBorders>
            <w:shd w:val="clear" w:color="auto" w:fill="FFFFFF"/>
          </w:tcPr>
          <w:p w14:paraId="217A29B5" w14:textId="77777777" w:rsidR="009A0302" w:rsidRDefault="009A0302" w:rsidP="00046F02">
            <w:r>
              <w:rPr>
                <w:rFonts w:hint="eastAsia"/>
              </w:rPr>
              <w:t>CFR</w:t>
            </w:r>
          </w:p>
        </w:tc>
        <w:tc>
          <w:tcPr>
            <w:tcW w:w="4275" w:type="dxa"/>
            <w:tcBorders>
              <w:tl2br w:val="nil"/>
              <w:tr2bl w:val="nil"/>
            </w:tcBorders>
            <w:shd w:val="clear" w:color="auto" w:fill="FFFFFF"/>
          </w:tcPr>
          <w:p w14:paraId="669ED932" w14:textId="77777777" w:rsidR="009A0302" w:rsidRDefault="009A0302" w:rsidP="00046F02">
            <w:r>
              <w:t>Net cash flows from operating</w:t>
            </w:r>
            <w:r>
              <w:rPr>
                <w:rFonts w:hint="eastAsia"/>
              </w:rPr>
              <w:t xml:space="preserve"> </w:t>
            </w:r>
            <w:r>
              <w:t>activities/Total assets</w:t>
            </w:r>
          </w:p>
        </w:tc>
        <w:tc>
          <w:tcPr>
            <w:tcW w:w="874" w:type="dxa"/>
            <w:tcBorders>
              <w:tl2br w:val="nil"/>
              <w:tr2bl w:val="nil"/>
            </w:tcBorders>
            <w:shd w:val="clear" w:color="auto" w:fill="FFFFFF"/>
          </w:tcPr>
          <w:p w14:paraId="76FF4833" w14:textId="77777777" w:rsidR="009A0302" w:rsidRDefault="009A0302" w:rsidP="00046F02"/>
        </w:tc>
      </w:tr>
    </w:tbl>
    <w:p w14:paraId="7109E77B" w14:textId="77777777" w:rsidR="009A0302" w:rsidRPr="009A0302" w:rsidRDefault="009A0302">
      <w:pPr>
        <w:rPr>
          <w:rFonts w:ascii="Times New Roman" w:hAnsi="Times New Roman"/>
          <w:b/>
          <w:bCs/>
        </w:rPr>
      </w:pPr>
    </w:p>
    <w:sectPr w:rsidR="009A0302" w:rsidRPr="009A03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2C654" w14:textId="77777777" w:rsidR="00E82485" w:rsidRDefault="00E82485" w:rsidP="007002B8">
      <w:r>
        <w:separator/>
      </w:r>
    </w:p>
  </w:endnote>
  <w:endnote w:type="continuationSeparator" w:id="0">
    <w:p w14:paraId="2E69AB58" w14:textId="77777777" w:rsidR="00E82485" w:rsidRDefault="00E82485" w:rsidP="00700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DAE24" w14:textId="77777777" w:rsidR="00E82485" w:rsidRDefault="00E82485" w:rsidP="007002B8">
      <w:r>
        <w:separator/>
      </w:r>
    </w:p>
  </w:footnote>
  <w:footnote w:type="continuationSeparator" w:id="0">
    <w:p w14:paraId="74BB8F71" w14:textId="77777777" w:rsidR="00E82485" w:rsidRDefault="00E82485" w:rsidP="00700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EwNTM5NzYwMDRjMzkwZTVkZjY2ODkwMGIxNGU0OTUifQ=="/>
  </w:docVars>
  <w:rsids>
    <w:rsidRoot w:val="7FDA7009"/>
    <w:rsid w:val="004D3E9B"/>
    <w:rsid w:val="007002B8"/>
    <w:rsid w:val="00777784"/>
    <w:rsid w:val="009A0302"/>
    <w:rsid w:val="00E82485"/>
    <w:rsid w:val="4C4720CB"/>
    <w:rsid w:val="63825B13"/>
    <w:rsid w:val="7253248E"/>
    <w:rsid w:val="7FDA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B4462C"/>
  <w15:docId w15:val="{FDC9A836-C564-47BA-941E-ECB39A6A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rsid w:val="007002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002B8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7002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002B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1346</Characters>
  <Application>Microsoft Office Word</Application>
  <DocSecurity>0</DocSecurity>
  <Lines>96</Lines>
  <Paragraphs>59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Chris黄小辉</dc:creator>
  <cp:lastModifiedBy>辉 黄</cp:lastModifiedBy>
  <cp:revision>3</cp:revision>
  <dcterms:created xsi:type="dcterms:W3CDTF">2025-06-27T04:05:00Z</dcterms:created>
  <dcterms:modified xsi:type="dcterms:W3CDTF">2025-06-27T04:08:00Z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97542B3032904283B46CAAD9D0205F27_13</vt:lpwstr>
  </property>
</Properties>
</file>