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B41" w:rsidRPr="00921BD8" w:rsidRDefault="00D05B41" w:rsidP="00D05B41">
      <w:pPr>
        <w:rPr>
          <w:rFonts w:ascii="Trebuchet MS" w:hAnsi="Trebuchet MS"/>
          <w:b/>
          <w:sz w:val="32"/>
          <w:szCs w:val="32"/>
          <w:lang w:val="en-US"/>
        </w:rPr>
      </w:pPr>
      <w:r w:rsidRPr="00921BD8">
        <w:rPr>
          <w:rFonts w:ascii="Trebuchet MS" w:hAnsi="Trebuchet MS"/>
          <w:b/>
          <w:sz w:val="32"/>
          <w:szCs w:val="32"/>
          <w:lang w:val="en-US"/>
        </w:rPr>
        <w:t xml:space="preserve">Chapter </w:t>
      </w:r>
      <w:r>
        <w:rPr>
          <w:rFonts w:ascii="Trebuchet MS" w:hAnsi="Trebuchet MS"/>
          <w:b/>
          <w:sz w:val="32"/>
          <w:szCs w:val="32"/>
          <w:lang w:val="en-US"/>
        </w:rPr>
        <w:t>6</w:t>
      </w:r>
    </w:p>
    <w:p w:rsidR="00D05B41" w:rsidRDefault="00D05B41" w:rsidP="00D05B41">
      <w:pPr>
        <w:rPr>
          <w:rFonts w:ascii="Trebuchet MS" w:hAnsi="Trebuchet MS"/>
          <w:b/>
          <w:lang w:val="en-US"/>
        </w:rPr>
      </w:pPr>
      <w:r w:rsidRPr="00921BD8">
        <w:rPr>
          <w:rFonts w:ascii="Trebuchet MS" w:hAnsi="Trebuchet MS"/>
          <w:b/>
          <w:lang w:val="en-US"/>
        </w:rPr>
        <w:t xml:space="preserve">Supplemental Data </w:t>
      </w:r>
      <w:r>
        <w:rPr>
          <w:rFonts w:ascii="Trebuchet MS" w:hAnsi="Trebuchet MS"/>
          <w:b/>
          <w:lang w:val="en-US"/>
        </w:rPr>
        <w:t>3</w:t>
      </w:r>
      <w:r w:rsidRPr="00921BD8">
        <w:rPr>
          <w:rFonts w:ascii="Trebuchet MS" w:hAnsi="Trebuchet MS"/>
          <w:b/>
          <w:lang w:val="en-US"/>
        </w:rPr>
        <w:t xml:space="preserve">: </w:t>
      </w:r>
      <w:r>
        <w:rPr>
          <w:rFonts w:ascii="Trebuchet MS" w:hAnsi="Trebuchet MS"/>
          <w:b/>
          <w:lang w:val="en-US"/>
        </w:rPr>
        <w:t>Risk of bias assessment</w:t>
      </w:r>
    </w:p>
    <w:tbl>
      <w:tblPr>
        <w:tblStyle w:val="MediumShading1-Accent11"/>
        <w:tblW w:w="14503" w:type="dxa"/>
        <w:tblLayout w:type="fixed"/>
        <w:tblLook w:val="0600" w:firstRow="0" w:lastRow="0" w:firstColumn="0" w:lastColumn="0" w:noHBand="1" w:noVBand="1"/>
      </w:tblPr>
      <w:tblGrid>
        <w:gridCol w:w="2072"/>
        <w:gridCol w:w="1775"/>
        <w:gridCol w:w="1776"/>
        <w:gridCol w:w="1776"/>
        <w:gridCol w:w="1776"/>
        <w:gridCol w:w="1776"/>
        <w:gridCol w:w="1776"/>
        <w:gridCol w:w="1776"/>
      </w:tblGrid>
      <w:tr w:rsidR="00D05B41" w:rsidRPr="00F616CD" w:rsidTr="00D05B41">
        <w:trPr>
          <w:trHeight w:val="284"/>
        </w:trPr>
        <w:tc>
          <w:tcPr>
            <w:tcW w:w="2072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</w:pPr>
          </w:p>
        </w:tc>
        <w:tc>
          <w:tcPr>
            <w:tcW w:w="177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  <w:t>Loss to follow-up, N (%)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  <w:t>Inclusion of patients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  <w:t>Criteria for diagnosis of Cushing’s syndrome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  <w:t>Outcome measurement for cortisol normalization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  <w:t>Reporting of outcome definition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  <w:t>Description of protocol for laboratory measurements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  <w:t>Description of dose and duration of intervention</w:t>
            </w:r>
          </w:p>
        </w:tc>
      </w:tr>
      <w:tr w:rsidR="00D05B41" w:rsidRPr="00D05B41" w:rsidTr="00D05B41">
        <w:trPr>
          <w:trHeight w:val="284"/>
        </w:trPr>
        <w:tc>
          <w:tcPr>
            <w:tcW w:w="2072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t>Mitotane</w:t>
            </w:r>
          </w:p>
        </w:tc>
        <w:tc>
          <w:tcPr>
            <w:tcW w:w="177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</w:tr>
      <w:tr w:rsidR="00D05B41" w:rsidRPr="00D05B41" w:rsidTr="00D05B41">
        <w:trPr>
          <w:trHeight w:val="284"/>
        </w:trPr>
        <w:tc>
          <w:tcPr>
            <w:tcW w:w="2072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Baudry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2012</w:t>
            </w:r>
          </w:p>
        </w:tc>
        <w:tc>
          <w:tcPr>
            <w:tcW w:w="177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9 (10.6%) not in analyses, short-term treatment before surgery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Mentioned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Urinary free cortisol, morning plasma cortisol &amp; after 250 µg ACTH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</w:tr>
      <w:tr w:rsidR="00D05B41" w:rsidRPr="00D05B41" w:rsidTr="00D05B41">
        <w:trPr>
          <w:trHeight w:val="284"/>
        </w:trPr>
        <w:tc>
          <w:tcPr>
            <w:tcW w:w="2072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Luton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1979</w:t>
            </w:r>
          </w:p>
        </w:tc>
        <w:tc>
          <w:tcPr>
            <w:tcW w:w="177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Mentioned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Urinary free cortisol, plasma cortisol, 17-hydroxycorticosteroids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adequate</w:t>
            </w:r>
          </w:p>
        </w:tc>
      </w:tr>
      <w:tr w:rsidR="00D05B41" w:rsidRPr="00D05B41" w:rsidTr="00D05B41">
        <w:trPr>
          <w:trHeight w:val="284"/>
        </w:trPr>
        <w:tc>
          <w:tcPr>
            <w:tcW w:w="2072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Maher 1992</w:t>
            </w:r>
          </w:p>
        </w:tc>
        <w:tc>
          <w:tcPr>
            <w:tcW w:w="177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mentioned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relevant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adequate</w:t>
            </w:r>
          </w:p>
        </w:tc>
      </w:tr>
      <w:tr w:rsidR="00D05B41" w:rsidRPr="00D05B41" w:rsidTr="00D05B41">
        <w:trPr>
          <w:trHeight w:val="284"/>
        </w:trPr>
        <w:tc>
          <w:tcPr>
            <w:tcW w:w="2072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Orth 1971</w:t>
            </w:r>
          </w:p>
        </w:tc>
        <w:tc>
          <w:tcPr>
            <w:tcW w:w="177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Mentioned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Urinary 17-OHCS, plasma cortisol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adequate</w:t>
            </w:r>
          </w:p>
        </w:tc>
      </w:tr>
      <w:tr w:rsidR="00D05B41" w:rsidRPr="00D05B41" w:rsidTr="00D05B41">
        <w:trPr>
          <w:trHeight w:val="284"/>
        </w:trPr>
        <w:tc>
          <w:tcPr>
            <w:tcW w:w="2072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Schteingart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1980</w:t>
            </w:r>
          </w:p>
        </w:tc>
        <w:tc>
          <w:tcPr>
            <w:tcW w:w="177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Mentioned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Urinary free cortisol, plasma cortisol day curve, cortisol secretion rate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adequate</w:t>
            </w:r>
          </w:p>
        </w:tc>
      </w:tr>
      <w:tr w:rsidR="00D05B41" w:rsidRPr="00D05B41" w:rsidTr="00D05B41">
        <w:trPr>
          <w:trHeight w:val="284"/>
        </w:trPr>
        <w:tc>
          <w:tcPr>
            <w:tcW w:w="2072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t>Pasireotide</w:t>
            </w:r>
          </w:p>
        </w:tc>
        <w:tc>
          <w:tcPr>
            <w:tcW w:w="177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</w:tr>
      <w:tr w:rsidR="00D05B41" w:rsidRPr="00D05B41" w:rsidTr="00D05B41">
        <w:trPr>
          <w:trHeight w:val="284"/>
        </w:trPr>
        <w:tc>
          <w:tcPr>
            <w:tcW w:w="2072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Boscaro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2009</w:t>
            </w:r>
          </w:p>
        </w:tc>
        <w:tc>
          <w:tcPr>
            <w:tcW w:w="177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 (0%)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Mentioned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Urinary free cortisol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</w:tr>
      <w:tr w:rsidR="00D05B41" w:rsidRPr="00D05B41" w:rsidTr="00D05B41">
        <w:trPr>
          <w:trHeight w:val="284"/>
        </w:trPr>
        <w:tc>
          <w:tcPr>
            <w:tcW w:w="2072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Colao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2012</w:t>
            </w:r>
          </w:p>
        </w:tc>
        <w:tc>
          <w:tcPr>
            <w:tcW w:w="177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162 of 329 screened patients included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Mentioned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Urinary free cortisol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</w:tr>
      <w:tr w:rsidR="00D05B41" w:rsidRPr="00D05B41" w:rsidTr="00D05B41">
        <w:trPr>
          <w:trHeight w:val="284"/>
        </w:trPr>
        <w:tc>
          <w:tcPr>
            <w:tcW w:w="2072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t>Cabergoline</w:t>
            </w:r>
          </w:p>
        </w:tc>
        <w:tc>
          <w:tcPr>
            <w:tcW w:w="177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</w:tr>
      <w:tr w:rsidR="00D05B41" w:rsidRPr="00D05B41" w:rsidTr="00D05B41">
        <w:trPr>
          <w:trHeight w:val="284"/>
        </w:trPr>
        <w:tc>
          <w:tcPr>
            <w:tcW w:w="2072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Burman 2016</w:t>
            </w:r>
          </w:p>
        </w:tc>
        <w:tc>
          <w:tcPr>
            <w:tcW w:w="177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 (0%)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Mentioned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Urinary free cortisol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</w:tr>
      <w:tr w:rsidR="00D05B41" w:rsidRPr="00D05B41" w:rsidTr="00D05B41">
        <w:trPr>
          <w:trHeight w:val="284"/>
        </w:trPr>
        <w:tc>
          <w:tcPr>
            <w:tcW w:w="2072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Godbout 2010</w:t>
            </w:r>
          </w:p>
        </w:tc>
        <w:tc>
          <w:tcPr>
            <w:tcW w:w="177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Mentioned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Urinary free cortisol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adequate</w:t>
            </w:r>
          </w:p>
        </w:tc>
      </w:tr>
      <w:tr w:rsidR="00D05B41" w:rsidRPr="00D05B41" w:rsidTr="00D05B41">
        <w:trPr>
          <w:trHeight w:val="284"/>
        </w:trPr>
        <w:tc>
          <w:tcPr>
            <w:tcW w:w="2072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Pivonello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2009</w:t>
            </w:r>
          </w:p>
        </w:tc>
        <w:tc>
          <w:tcPr>
            <w:tcW w:w="177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12 (60%) lost per protocol after stop treatment because of resistance or intolerance 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Mentioned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Urinary free cortisol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</w:tr>
      <w:tr w:rsidR="00D05B41" w:rsidRPr="00D05B41" w:rsidTr="00D05B41">
        <w:trPr>
          <w:trHeight w:val="284"/>
        </w:trPr>
        <w:tc>
          <w:tcPr>
            <w:tcW w:w="2072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lastRenderedPageBreak/>
              <w:t>Ketoconazole</w:t>
            </w:r>
          </w:p>
        </w:tc>
        <w:tc>
          <w:tcPr>
            <w:tcW w:w="177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</w:tr>
      <w:tr w:rsidR="00D05B41" w:rsidRPr="00D05B41" w:rsidTr="00D05B41">
        <w:trPr>
          <w:trHeight w:val="284"/>
        </w:trPr>
        <w:tc>
          <w:tcPr>
            <w:tcW w:w="2072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Castinetti 2014</w:t>
            </w:r>
          </w:p>
        </w:tc>
        <w:tc>
          <w:tcPr>
            <w:tcW w:w="177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 (1.5%)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Mentioned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Urinary free cortisol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</w:tr>
      <w:tr w:rsidR="00D05B41" w:rsidRPr="00D05B41" w:rsidTr="00D05B41">
        <w:trPr>
          <w:trHeight w:val="284"/>
        </w:trPr>
        <w:tc>
          <w:tcPr>
            <w:tcW w:w="2072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Fallo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1993</w:t>
            </w:r>
          </w:p>
        </w:tc>
        <w:tc>
          <w:tcPr>
            <w:tcW w:w="177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Consecutive patients with Cushing and hypertension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Mentioned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Urinary free cortisol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adequate</w:t>
            </w:r>
          </w:p>
        </w:tc>
      </w:tr>
      <w:tr w:rsidR="00D05B41" w:rsidRPr="00D05B41" w:rsidTr="00D05B41">
        <w:trPr>
          <w:trHeight w:val="284"/>
        </w:trPr>
        <w:tc>
          <w:tcPr>
            <w:tcW w:w="2072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Ghervan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2015</w:t>
            </w:r>
          </w:p>
        </w:tc>
        <w:tc>
          <w:tcPr>
            <w:tcW w:w="177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Mentioned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Morning serum cortisol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</w:tr>
      <w:tr w:rsidR="00D05B41" w:rsidRPr="00D05B41" w:rsidTr="00D05B41">
        <w:trPr>
          <w:trHeight w:val="284"/>
        </w:trPr>
        <w:tc>
          <w:tcPr>
            <w:tcW w:w="2072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Luisetto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2001</w:t>
            </w:r>
          </w:p>
        </w:tc>
        <w:tc>
          <w:tcPr>
            <w:tcW w:w="177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Mentioned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Urinary free cortisol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adequate</w:t>
            </w:r>
          </w:p>
        </w:tc>
      </w:tr>
      <w:tr w:rsidR="00D05B41" w:rsidRPr="00D05B41" w:rsidTr="00D05B41">
        <w:trPr>
          <w:trHeight w:val="284"/>
        </w:trPr>
        <w:tc>
          <w:tcPr>
            <w:tcW w:w="2072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Moncet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2007</w:t>
            </w:r>
          </w:p>
        </w:tc>
        <w:tc>
          <w:tcPr>
            <w:tcW w:w="177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 (3.7%)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Mentioned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Urinary free cortisol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</w:tr>
      <w:tr w:rsidR="00D05B41" w:rsidRPr="00D05B41" w:rsidTr="00D05B41">
        <w:trPr>
          <w:trHeight w:val="284"/>
        </w:trPr>
        <w:tc>
          <w:tcPr>
            <w:tcW w:w="2072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Sonino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1991</w:t>
            </w:r>
          </w:p>
        </w:tc>
        <w:tc>
          <w:tcPr>
            <w:tcW w:w="177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Mentioned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Urinary free cortisol, morning plasma cortisol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</w:tr>
      <w:tr w:rsidR="00D05B41" w:rsidRPr="00D05B41" w:rsidTr="00D05B41">
        <w:trPr>
          <w:trHeight w:val="284"/>
        </w:trPr>
        <w:tc>
          <w:tcPr>
            <w:tcW w:w="2072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Stiefel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2002</w:t>
            </w:r>
          </w:p>
        </w:tc>
        <w:tc>
          <w:tcPr>
            <w:tcW w:w="177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Mentioned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Urinary free cortisol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</w:tr>
      <w:tr w:rsidR="00D05B41" w:rsidRPr="00D05B41" w:rsidTr="00D05B41">
        <w:trPr>
          <w:trHeight w:val="284"/>
        </w:trPr>
        <w:tc>
          <w:tcPr>
            <w:tcW w:w="2072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Winquist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1995</w:t>
            </w:r>
          </w:p>
        </w:tc>
        <w:tc>
          <w:tcPr>
            <w:tcW w:w="177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Mentioned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Urinary free cortisol, plasma cortisol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</w:tr>
      <w:tr w:rsidR="00D05B41" w:rsidRPr="00D05B41" w:rsidTr="00D05B41">
        <w:trPr>
          <w:trHeight w:val="284"/>
        </w:trPr>
        <w:tc>
          <w:tcPr>
            <w:tcW w:w="2072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t>Metyrapone</w:t>
            </w:r>
          </w:p>
        </w:tc>
        <w:tc>
          <w:tcPr>
            <w:tcW w:w="177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</w:tr>
      <w:tr w:rsidR="00D05B41" w:rsidRPr="00D05B41" w:rsidTr="00D05B41">
        <w:trPr>
          <w:trHeight w:val="284"/>
        </w:trPr>
        <w:tc>
          <w:tcPr>
            <w:tcW w:w="2072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Child 1976</w:t>
            </w:r>
          </w:p>
        </w:tc>
        <w:tc>
          <w:tcPr>
            <w:tcW w:w="177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Mentioned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Urinary free cortisol, morning plasma cortisol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</w:tr>
      <w:tr w:rsidR="00D05B41" w:rsidRPr="00D05B41" w:rsidTr="00D05B41">
        <w:trPr>
          <w:trHeight w:val="284"/>
        </w:trPr>
        <w:tc>
          <w:tcPr>
            <w:tcW w:w="2072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Jeffcoate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1977</w:t>
            </w:r>
          </w:p>
        </w:tc>
        <w:tc>
          <w:tcPr>
            <w:tcW w:w="177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Mentioned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Plasma cortisol day curve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adequate</w:t>
            </w:r>
          </w:p>
        </w:tc>
      </w:tr>
      <w:tr w:rsidR="00D05B41" w:rsidRPr="00D05B41" w:rsidTr="00D05B41">
        <w:trPr>
          <w:trHeight w:val="284"/>
        </w:trPr>
        <w:tc>
          <w:tcPr>
            <w:tcW w:w="2072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Jeffcoate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1979</w:t>
            </w:r>
          </w:p>
        </w:tc>
        <w:tc>
          <w:tcPr>
            <w:tcW w:w="177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Consecutive patients with psychiatric examination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Mentioned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relevant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relevant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adequate</w:t>
            </w:r>
          </w:p>
        </w:tc>
      </w:tr>
      <w:tr w:rsidR="00D05B41" w:rsidRPr="00D05B41" w:rsidTr="00D05B41">
        <w:trPr>
          <w:trHeight w:val="284"/>
        </w:trPr>
        <w:tc>
          <w:tcPr>
            <w:tcW w:w="2072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Ross 1979</w:t>
            </w:r>
          </w:p>
        </w:tc>
        <w:tc>
          <w:tcPr>
            <w:tcW w:w="177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 (7%)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Mentioned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Urinary free cortisol, plasma cortisol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adequate</w:t>
            </w:r>
          </w:p>
        </w:tc>
      </w:tr>
      <w:tr w:rsidR="00D05B41" w:rsidRPr="00D05B41" w:rsidTr="00D05B41">
        <w:trPr>
          <w:trHeight w:val="284"/>
        </w:trPr>
        <w:tc>
          <w:tcPr>
            <w:tcW w:w="2072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Verhelst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1991</w:t>
            </w:r>
          </w:p>
        </w:tc>
        <w:tc>
          <w:tcPr>
            <w:tcW w:w="177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Mentioned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Serum cortisol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adequate</w:t>
            </w:r>
          </w:p>
        </w:tc>
      </w:tr>
      <w:tr w:rsidR="00D05B41" w:rsidRPr="00D05B41" w:rsidTr="00D05B41">
        <w:trPr>
          <w:trHeight w:val="284"/>
        </w:trPr>
        <w:tc>
          <w:tcPr>
            <w:tcW w:w="2072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t>Mifepristone</w:t>
            </w:r>
          </w:p>
        </w:tc>
        <w:tc>
          <w:tcPr>
            <w:tcW w:w="177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</w:tr>
      <w:tr w:rsidR="00D05B41" w:rsidRPr="00D05B41" w:rsidTr="00D05B41">
        <w:trPr>
          <w:trHeight w:val="284"/>
        </w:trPr>
        <w:tc>
          <w:tcPr>
            <w:tcW w:w="2072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Castinetti 2009</w:t>
            </w:r>
          </w:p>
        </w:tc>
        <w:tc>
          <w:tcPr>
            <w:tcW w:w="177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Mentioned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relevant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</w:tr>
      <w:tr w:rsidR="00D05B41" w:rsidRPr="00D05B41" w:rsidTr="00D05B41">
        <w:trPr>
          <w:trHeight w:val="284"/>
        </w:trPr>
        <w:tc>
          <w:tcPr>
            <w:tcW w:w="2072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Fleseriu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2012</w:t>
            </w:r>
          </w:p>
        </w:tc>
        <w:tc>
          <w:tcPr>
            <w:tcW w:w="177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7 (14%)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Consecutive patients with diabetes mellitus/impaired glucose tolerance/hypertension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Mentioned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Urinary free cortisol, late night salivary cortisol, serum cortisol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</w:tr>
      <w:tr w:rsidR="00D05B41" w:rsidRPr="00D05B41" w:rsidTr="00D05B41">
        <w:trPr>
          <w:trHeight w:val="284"/>
        </w:trPr>
        <w:tc>
          <w:tcPr>
            <w:tcW w:w="2072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lastRenderedPageBreak/>
              <w:t>Multiple medical agents</w:t>
            </w:r>
          </w:p>
        </w:tc>
        <w:tc>
          <w:tcPr>
            <w:tcW w:w="177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</w:pP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</w:tr>
      <w:tr w:rsidR="00D05B41" w:rsidRPr="00D05B41" w:rsidTr="00D05B41">
        <w:trPr>
          <w:trHeight w:val="284"/>
        </w:trPr>
        <w:tc>
          <w:tcPr>
            <w:tcW w:w="2072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Barbot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2014</w:t>
            </w:r>
          </w:p>
        </w:tc>
        <w:tc>
          <w:tcPr>
            <w:tcW w:w="177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 (0%) in first 12 months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eastAsia="nl-NL"/>
              </w:rPr>
              <w:t>Not reported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Mentioned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Urinary free cortisol, late night salivary cortisol 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</w:tr>
      <w:tr w:rsidR="00D05B41" w:rsidRPr="00D05B41" w:rsidTr="00D05B41">
        <w:trPr>
          <w:trHeight w:val="284"/>
        </w:trPr>
        <w:tc>
          <w:tcPr>
            <w:tcW w:w="2072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Corcuff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2015</w:t>
            </w:r>
          </w:p>
        </w:tc>
        <w:tc>
          <w:tcPr>
            <w:tcW w:w="177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Mentioned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Urinary free cortisol, midnight plasma cortisol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</w:tr>
      <w:tr w:rsidR="00D05B41" w:rsidRPr="00D05B41" w:rsidTr="00D05B41">
        <w:trPr>
          <w:trHeight w:val="284"/>
        </w:trPr>
        <w:tc>
          <w:tcPr>
            <w:tcW w:w="2072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Daniel 2015</w:t>
            </w:r>
          </w:p>
        </w:tc>
        <w:tc>
          <w:tcPr>
            <w:tcW w:w="177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 (1%)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mentioned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Urinary free cortisol, morning serum cortisol  and day curve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</w:tr>
      <w:tr w:rsidR="00D05B41" w:rsidRPr="00D05B41" w:rsidTr="00D05B41">
        <w:trPr>
          <w:trHeight w:val="284"/>
        </w:trPr>
        <w:tc>
          <w:tcPr>
            <w:tcW w:w="2072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Donadille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2010</w:t>
            </w:r>
          </w:p>
        </w:tc>
        <w:tc>
          <w:tcPr>
            <w:tcW w:w="177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Consecutive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Mentioned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Urinary free cortisol, morning plasma cortisol, midnight salivary cortisol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</w:tr>
      <w:tr w:rsidR="00D05B41" w:rsidRPr="00D05B41" w:rsidTr="00D05B41">
        <w:trPr>
          <w:trHeight w:val="284"/>
        </w:trPr>
        <w:tc>
          <w:tcPr>
            <w:tcW w:w="2072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Feelders 2010</w:t>
            </w:r>
          </w:p>
        </w:tc>
        <w:tc>
          <w:tcPr>
            <w:tcW w:w="177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mentioned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Urinary free cortisol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</w:tr>
      <w:tr w:rsidR="00D05B41" w:rsidRPr="00D05B41" w:rsidTr="00D05B41">
        <w:trPr>
          <w:trHeight w:val="284"/>
        </w:trPr>
        <w:tc>
          <w:tcPr>
            <w:tcW w:w="2072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Ferriere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2017</w:t>
            </w:r>
          </w:p>
        </w:tc>
        <w:tc>
          <w:tcPr>
            <w:tcW w:w="177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Consecutive patients with ≥1 month of cabergoline use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Mentioned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Urinary free cortisol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</w:tr>
      <w:tr w:rsidR="00D05B41" w:rsidRPr="00D05B41" w:rsidTr="00D05B41">
        <w:trPr>
          <w:trHeight w:val="284"/>
        </w:trPr>
        <w:tc>
          <w:tcPr>
            <w:tcW w:w="2072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Valassi 2012</w:t>
            </w:r>
          </w:p>
        </w:tc>
        <w:tc>
          <w:tcPr>
            <w:tcW w:w="177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41 (40%) before start study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62 of 103 eligible Cushing’s syndrome patients included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Mentioned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Urinary free cortisol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adequate</w:t>
            </w:r>
          </w:p>
        </w:tc>
      </w:tr>
      <w:tr w:rsidR="00D05B41" w:rsidRPr="00D05B41" w:rsidTr="00D05B41">
        <w:trPr>
          <w:trHeight w:val="284"/>
        </w:trPr>
        <w:tc>
          <w:tcPr>
            <w:tcW w:w="2072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Van den Bosch 2014</w:t>
            </w:r>
          </w:p>
        </w:tc>
        <w:tc>
          <w:tcPr>
            <w:tcW w:w="177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 (8%) excluded after stop treatment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Consecutive patients with pretreatment for surgery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Mentioned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Urinary free cortisol, serum cortisol day curve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</w:tr>
      <w:tr w:rsidR="00D05B41" w:rsidRPr="00D05B41" w:rsidTr="00D05B41">
        <w:trPr>
          <w:trHeight w:val="284"/>
        </w:trPr>
        <w:tc>
          <w:tcPr>
            <w:tcW w:w="2072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Van der Pas 2013</w:t>
            </w:r>
          </w:p>
        </w:tc>
        <w:tc>
          <w:tcPr>
            <w:tcW w:w="177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mentioned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Urinary free cortisol, plasma cortisol, salivary cortisol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relevant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</w:tr>
      <w:tr w:rsidR="00D05B41" w:rsidRPr="00D05B41" w:rsidTr="00D05B41">
        <w:trPr>
          <w:trHeight w:val="284"/>
        </w:trPr>
        <w:tc>
          <w:tcPr>
            <w:tcW w:w="2072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Vilar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2010</w:t>
            </w:r>
          </w:p>
        </w:tc>
        <w:tc>
          <w:tcPr>
            <w:tcW w:w="177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Selection without mentioned criteria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Mentioned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Urinary free cortisol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  <w:tc>
          <w:tcPr>
            <w:tcW w:w="1776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Adequate</w:t>
            </w:r>
          </w:p>
        </w:tc>
      </w:tr>
    </w:tbl>
    <w:p w:rsidR="00D05B41" w:rsidRDefault="00D05B41" w:rsidP="00E54D02">
      <w:pPr>
        <w:pStyle w:val="KeinLeerraum"/>
        <w:rPr>
          <w:rFonts w:ascii="Trebuchet MS" w:hAnsi="Trebuchet MS"/>
          <w:sz w:val="18"/>
          <w:szCs w:val="18"/>
          <w:lang w:val="en-US"/>
        </w:rPr>
      </w:pPr>
    </w:p>
    <w:p w:rsidR="00D05B41" w:rsidRDefault="00D05B41">
      <w:pPr>
        <w:rPr>
          <w:rFonts w:ascii="Trebuchet MS" w:eastAsia="Calibri" w:hAnsi="Trebuchet MS" w:cs="Times New Roman"/>
          <w:sz w:val="18"/>
          <w:szCs w:val="18"/>
          <w:lang w:val="en-US"/>
        </w:rPr>
      </w:pPr>
      <w:bookmarkStart w:id="0" w:name="_GoBack"/>
      <w:bookmarkEnd w:id="0"/>
    </w:p>
    <w:sectPr w:rsidR="00D05B41" w:rsidSect="00921BD8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F279E"/>
    <w:multiLevelType w:val="hybridMultilevel"/>
    <w:tmpl w:val="08BED46C"/>
    <w:lvl w:ilvl="0" w:tplc="44142BA8">
      <w:start w:val="68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31FB6"/>
    <w:multiLevelType w:val="hybridMultilevel"/>
    <w:tmpl w:val="49DE5A30"/>
    <w:lvl w:ilvl="0" w:tplc="44142BA8">
      <w:start w:val="68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23816"/>
    <w:multiLevelType w:val="hybridMultilevel"/>
    <w:tmpl w:val="876A8A46"/>
    <w:lvl w:ilvl="0" w:tplc="2CCCDBE6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F520C6"/>
    <w:multiLevelType w:val="hybridMultilevel"/>
    <w:tmpl w:val="9434FEE6"/>
    <w:lvl w:ilvl="0" w:tplc="D48C84F8">
      <w:start w:val="69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2B1"/>
    <w:rsid w:val="00013274"/>
    <w:rsid w:val="0009274D"/>
    <w:rsid w:val="000F2828"/>
    <w:rsid w:val="00104C4D"/>
    <w:rsid w:val="001931FB"/>
    <w:rsid w:val="00211100"/>
    <w:rsid w:val="002D5053"/>
    <w:rsid w:val="003B02B1"/>
    <w:rsid w:val="003E7355"/>
    <w:rsid w:val="0046786B"/>
    <w:rsid w:val="00491425"/>
    <w:rsid w:val="00612258"/>
    <w:rsid w:val="00674E13"/>
    <w:rsid w:val="006C6DF9"/>
    <w:rsid w:val="006D5CDE"/>
    <w:rsid w:val="00830934"/>
    <w:rsid w:val="008F5F34"/>
    <w:rsid w:val="00921BD8"/>
    <w:rsid w:val="00952CAA"/>
    <w:rsid w:val="009533EB"/>
    <w:rsid w:val="009762D8"/>
    <w:rsid w:val="0099701A"/>
    <w:rsid w:val="009A2F59"/>
    <w:rsid w:val="00A31531"/>
    <w:rsid w:val="00A432B8"/>
    <w:rsid w:val="00A6362C"/>
    <w:rsid w:val="00AE409B"/>
    <w:rsid w:val="00B44057"/>
    <w:rsid w:val="00B5743D"/>
    <w:rsid w:val="00B706F9"/>
    <w:rsid w:val="00B93794"/>
    <w:rsid w:val="00BA4C2B"/>
    <w:rsid w:val="00BE4D54"/>
    <w:rsid w:val="00D05B41"/>
    <w:rsid w:val="00D631C3"/>
    <w:rsid w:val="00E54D02"/>
    <w:rsid w:val="00EE28B3"/>
    <w:rsid w:val="00F469D3"/>
    <w:rsid w:val="00F6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D0BC0"/>
  <w15:chartTrackingRefBased/>
  <w15:docId w15:val="{CC524CB3-29ED-442F-9C98-635A8FE89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rsid w:val="00F469D3"/>
    <w:rPr>
      <w:rFonts w:ascii="Calibri" w:eastAsia="Calibri" w:hAnsi="Calibri" w:cs="Times New Roman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F469D3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 w:cs="Times New Roman"/>
      <w:lang w:val="en-GB"/>
    </w:rPr>
  </w:style>
  <w:style w:type="character" w:customStyle="1" w:styleId="FuzeileZchn">
    <w:name w:val="Fußzeile Zchn"/>
    <w:basedOn w:val="Absatz-Standardschriftart"/>
    <w:link w:val="Fuzeile"/>
    <w:uiPriority w:val="99"/>
    <w:rsid w:val="00F469D3"/>
    <w:rPr>
      <w:rFonts w:ascii="Calibri" w:eastAsia="Calibri" w:hAnsi="Calibri" w:cs="Times New Roman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F469D3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 w:cs="Times New Roman"/>
      <w:lang w:val="en-GB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31C3"/>
    <w:rPr>
      <w:rFonts w:ascii="Tahoma" w:eastAsia="Calibri" w:hAnsi="Tahoma" w:cs="Tahoma"/>
      <w:sz w:val="16"/>
      <w:szCs w:val="16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31C3"/>
    <w:pPr>
      <w:spacing w:after="0" w:line="240" w:lineRule="auto"/>
    </w:pPr>
    <w:rPr>
      <w:rFonts w:ascii="Tahoma" w:eastAsia="Calibri" w:hAnsi="Tahoma" w:cs="Tahoma"/>
      <w:sz w:val="16"/>
      <w:szCs w:val="16"/>
      <w:lang w:val="en-GB"/>
    </w:rPr>
  </w:style>
  <w:style w:type="paragraph" w:styleId="KeinLeerraum">
    <w:name w:val="No Spacing"/>
    <w:uiPriority w:val="1"/>
    <w:qFormat/>
    <w:rsid w:val="00A432B8"/>
    <w:pPr>
      <w:spacing w:after="0" w:line="240" w:lineRule="auto"/>
    </w:pPr>
    <w:rPr>
      <w:rFonts w:ascii="Calibri" w:eastAsia="Calibri" w:hAnsi="Calibri" w:cs="Times New Roman"/>
      <w:lang w:val="en-GB"/>
    </w:rPr>
  </w:style>
  <w:style w:type="character" w:styleId="Hyperlink">
    <w:name w:val="Hyperlink"/>
    <w:rsid w:val="00A432B8"/>
    <w:rPr>
      <w:color w:val="0000FF"/>
      <w:u w:val="single"/>
    </w:rPr>
  </w:style>
  <w:style w:type="paragraph" w:customStyle="1" w:styleId="Default">
    <w:name w:val="Default"/>
    <w:rsid w:val="00952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ett">
    <w:name w:val="Strong"/>
    <w:uiPriority w:val="22"/>
    <w:qFormat/>
    <w:rsid w:val="006C6DF9"/>
    <w:rPr>
      <w:b/>
      <w:bCs/>
    </w:rPr>
  </w:style>
  <w:style w:type="table" w:customStyle="1" w:styleId="MediumShading1-Accent11">
    <w:name w:val="Medium Shading 1 - Accent 11"/>
    <w:basedOn w:val="NormaleTabelle"/>
    <w:next w:val="MittlereSchattierung1-Akzent1"/>
    <w:uiPriority w:val="63"/>
    <w:rsid w:val="00A3153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semiHidden/>
    <w:unhideWhenUsed/>
    <w:rsid w:val="00A31531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enabsatz">
    <w:name w:val="List Paragraph"/>
    <w:basedOn w:val="Standard"/>
    <w:uiPriority w:val="34"/>
    <w:qFormat/>
    <w:rsid w:val="00A31531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A31531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31531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31531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31531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315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686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Charité Universitaetsmedizin Berlin</Company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Broersen, Leonarda</dc:creator>
  <cp:keywords/>
  <dc:description/>
  <cp:lastModifiedBy>Broersen, Leonarda</cp:lastModifiedBy>
  <cp:revision>3</cp:revision>
  <dcterms:created xsi:type="dcterms:W3CDTF">2019-03-27T09:26:00Z</dcterms:created>
  <dcterms:modified xsi:type="dcterms:W3CDTF">2019-03-27T09:45:00Z</dcterms:modified>
</cp:coreProperties>
</file>