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41" w:rsidRPr="00921BD8" w:rsidRDefault="00D05B41" w:rsidP="00D05B41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6</w:t>
      </w:r>
    </w:p>
    <w:p w:rsidR="00D05B41" w:rsidRDefault="00D05B41" w:rsidP="00D05B41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4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Study outcomes</w:t>
      </w:r>
    </w:p>
    <w:tbl>
      <w:tblPr>
        <w:tblStyle w:val="MediumShading1-Accent11"/>
        <w:tblW w:w="14267" w:type="dxa"/>
        <w:tblLayout w:type="fixed"/>
        <w:tblLook w:val="0600" w:firstRow="0" w:lastRow="0" w:firstColumn="0" w:lastColumn="0" w:noHBand="1" w:noVBand="1"/>
      </w:tblPr>
      <w:tblGrid>
        <w:gridCol w:w="1630"/>
        <w:gridCol w:w="1405"/>
        <w:gridCol w:w="1404"/>
        <w:gridCol w:w="1404"/>
        <w:gridCol w:w="1404"/>
        <w:gridCol w:w="1404"/>
        <w:gridCol w:w="1404"/>
        <w:gridCol w:w="1404"/>
        <w:gridCol w:w="1404"/>
        <w:gridCol w:w="1404"/>
      </w:tblGrid>
      <w:tr w:rsidR="00D05B41" w:rsidRPr="001866B2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Total number of patients (Number pre-treated before surgery)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Normalization of cortisol (N)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Clinical improvement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Well-being / Quality of life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Side effects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Number of patients with primary treatment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Normalization cortisol (N) / Clinical improvement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Number of patients with secondary treatment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Normalization cortisol (N) / Clinical improvement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Mitotane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Baudry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67 (9)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Significant improvement metabolic parameters (BMI, diastolic blood pressure, glucose, cholesterol)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19x stop therapy due to intolerance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49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Luton 1979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62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54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38x digestive discomfort, 1x rash, 1x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chloasma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8x gynecomastia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Maher 1992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30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In all 21 tested patients mean increase cholesterol 68% 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Orth 1971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Pituitary: 8; adrenal: 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Pituitary: 8; adrenal: 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4x nausea; adrenal: 3x nausea and ataxia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Schteingart 1980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36 (0)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29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32x anorexia / nausea, 18x decreased memory, 6x gynecomastia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Pasireotide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Boscaro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39 (safety population); 29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(efficacy population)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3x serious adverse event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(2x severe hyperglycemia, of which 1x stop therapy, 1x cardiac related events in known cardiac disease), 31x mild adverse event (3x dose reduction)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Colao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162 (0)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50 (out of 103 tested)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Mean difference blood pressure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 xml:space="preserve">-6.1 mmHg, triglycerides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 xml:space="preserve">-2 mg/dL, LDL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-15 mg/dL, weight -6.7 kg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Mean difference health-related quality of life 11.1 points (CushingQoL questionnaire)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26 patients stopped therapy due to adverse events. Various side effects </w:t>
            </w:r>
            <w:proofErr w:type="gram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are seen</w:t>
            </w:r>
            <w:proofErr w:type="gram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in up to 58% of patients per side effect.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Cabergoline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Burman 2016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 (18)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 improvement in weight, blood pressure, glucose or HbA1c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3x dose reduction, 10x side effects without dose reduction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Godbout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11x improvement clinical signs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3x dizziness and nausea, without therapy withdrawal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 /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10 /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Pivonello 2009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20 (0)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13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5x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obesity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(N=7), 4x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hypertension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(N=4), 1x diabetes mellitus (N=2), 1x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glucose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intolerance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(N=3)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de-DE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2x stop therapy due to asthenia, 4x mild asthenia, 1x dizziness, without stop therapy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applicable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10 /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5x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obesity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(N=7), 4x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hypertension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(N=4), 1x diabetes mellitus (N=2), 1x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glucose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intolerance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(N=3)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Ketoconazole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Castinetti 2014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200 (40)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88x clinical signs, 49x hypertension, 15x hypokalemia, 31x diabetes mellitus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41x stop therapy due to intolerance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35 /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35x clinical signs, 21x hypertension, 7x hypokalemia, 15x diabetes mellitus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62 /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53x clinical signs, 28x hypertension, 8x hypokalemia, 16x diabetes mellitus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Fallo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1993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24 (24)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22x hypertension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1x increased liver enzymes, 1x dyspepsia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Ghervan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 (4)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Pituitary: 10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Adrenal: 1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Ectopic: 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Pituitary: 6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Adrenal: 1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Ectopic: 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7x cholesterol (N=12), 6x hypertension (N=8), 3x glucose tolerance (N=3), 5x weight (N=10)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1x dose reduction due to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hypoadrenalism</w:t>
            </w:r>
            <w:proofErr w:type="spellEnd"/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Luisetto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 (0)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Moncet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54 (27)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33x hypertension (N=41), 20x myopathy (N=27), 23x obesity (N=45), 10x edema (N=20), 21x menstrual disturbance (N=35), 8x diabetes mellitus (N=11)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 patients side effects, treatment withdrawal in 4 (transient subclinical hepatic injury 6x, adrenal failure 10x, rash 3x, digestive intolerance 2x)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Sonino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20x hypertension (N=21), 6x hyperglycemia (N=6), 6x hypokalemia (N=8), 5x hirsutism, 2x amenorrhea, 23x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cholesterol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1x rash, 1x symptomatic liver toxicity (treatment withdrawal), 3x asymptomatic lever enzyme increase, 4x gastrointestinal side effect, 1x gynecomastia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Stiefel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Mean difference systolic blood pressure -35.6 mmHg, diastolic blood pressure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-30.4 mmHg, mean blood pressure -32.0 mmHg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Winquist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13x hypokalemia (N=14), 8x metabolic alkalosis (N=11), 7x diabetes mellitus (N=10), 3x edema (N=8), 3x muscle weakness, 2x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cushingoid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features (N=7), 8x hypertension (N=8)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4x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hypoadrenalism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(2x interruption therapy)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Metyrapone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Child 1976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3x severe myopathy (N=3), 6x diabetes mellitus (N=6), 11x general improvement (N=18)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14 patients side effects: 5x rash, 4x drowsiness, 1x nausea and dizziness, 1x slurring of speech and ataxia, 3x drowsiness and/or dizziness (8x change of treatment)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Jeffcoate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1977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5x glucose intolerance (N=7), 7x hypertension (N=12)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5x hirsutism / persisting acne (1x stop therapy) 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Jeffcoate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Mixed group without adrenal carcinoma: 19;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adrenal carcinoma: 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Mixed group without adrenal carcinoma: 11x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 xml:space="preserve">psychiatric symptoms; adrenal carcinoma: 1x psychiatric symptoms 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Ross 1979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10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1866B2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Verhelst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57 (47); adrenal: 16 (12); ectopic: 18 (9)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group (no separate data): 89% bloated face, 79% muscle weakness, 73% psychiatric disturbance, 9% hirsutism, 73% hypertension, 82% glucose intolerance/ diabetes mellitus (assessed in 75 patients)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Mixed group (no separate data): 10x transient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hypoadrenalism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(dose reduction), 5x transient mild hypokalemia, 1x dangerous hypokalemia, 6x edema, 3x rash, 12x dizziness, 3x hirsutism/acne (assessed in 75 patients)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53; adrenal and ectopic: 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40 /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Not reported; adrenal and ectopic: 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24; adrenal and ectopic: 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20 /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Not reported; adrenal and ectopic: 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Mifepristone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Castinetti 2009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 (1)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15x improved clinical signs (N=20), 3x psychiatric symptoms (N=4), 4x blood pressure (N=9), 4x diabetes mellitus (N=7)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11x hypokalemia (3x stop treatment), 3x hypertension, 4x increased cortisol, 3x adrenal insufficiency (dose reduction), 2x fatigue, 1x hypoglycemia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Fleseriu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15x glucose (N=25), 17x hypertension (N=40), overall clinical improvement 87% measured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 xml:space="preserve">in 46 patients, weight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 xml:space="preserve">-5.7%, waist -6.8 cm in women,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-8.4 cm in men, percent total body fat -3.6%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SF-36: mental +5.4 points and physical +4.2 points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12x hypertension, 31x increased ACTH and cortisol (N=43), 2x adrenal insufficiency; in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total 44 patients adverse event; 7x discontinued treatment, 20x interruptions/dose reduction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Multiple medical agents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Barbot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Most patients show partial regression of symptoms (waist, BMI, less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antihypertensives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better glucose control)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2x dose reduction (1x high transaminases, 1x skin rash)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Corcuff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Ectopic/adrenal: 82%/37% hypokalemia, 25%/38% stop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antihypertensives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, 28%/0% stop antidiabetics, mean difference systolic blood pressure -45/-30 mmHg, diastolic blood pressure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 xml:space="preserve">-15/-20 mmHg, fasting glucose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-6.6/-1.1 mmol/L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2x increased liver enzymes (stop treatment), 11x nausea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Daniel 2015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195 (124)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48 patients had 57 events: gastrointestinal upset 23%,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hypoadrenalism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7%; 15% dose reduction, 23% withdrawal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(temporarily or permanent)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164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Donadille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12x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>hypertension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  <w:t xml:space="preserve"> (N=19), 4x diabetes mellitus (N=10)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de-DE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1x stop treatment due to severe increase liver enzymes, 20x adrenal insufficiency, 15x digestive signs, 6x neurological signs, 1x transient gynecomastia, 12x hyper-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cholesterolemia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1x coronary event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de-DE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Feelders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Mean difference systolic blood pressure -12 mmHg, diastolic blood pressure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 xml:space="preserve">-8 mmHg, waist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 xml:space="preserve">-4.2 cm, weight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-2.4 kg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9x disturbance in glucose homeostasis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Ferriere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62 (5)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In complete responders: 7x weight, 11x glucose control, 9x hypertension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8x stop therapy due to poor tolerance, 9x adverse events without stop therapy (assessed in 57 patients)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Valassi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62 (60)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32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20x complete control of nine symptoms, and hypertension and diabetes mellitus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Various side effects </w:t>
            </w:r>
            <w:proofErr w:type="gram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are seen</w:t>
            </w:r>
            <w:proofErr w:type="gram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in 1-30 patients per side effect.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32 /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20x complete control of nine symptoms, and hypertension and diabetes mellitus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applicable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Van de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 Bosch 2014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33 (33)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1x stop therapy due to side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effects, 17x adjust therapy (of which 3x hepatotoxicity)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33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16 /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applicable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Van der Pas 2013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Double data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Quality of life: emotional reaction improved (NHP), more pain after study period (RAND 36)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491425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Vilar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 (0)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12x self-reported improvement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3x dizziness / nausea 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applicable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9 /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12x self-reported improvement</w:t>
            </w:r>
          </w:p>
        </w:tc>
      </w:tr>
    </w:tbl>
    <w:p w:rsidR="00EE28B3" w:rsidRDefault="00D05B41" w:rsidP="00E54D02">
      <w:pPr>
        <w:pStyle w:val="KeinLeerraum"/>
        <w:rPr>
          <w:rFonts w:ascii="Trebuchet MS" w:hAnsi="Trebuchet MS"/>
          <w:sz w:val="16"/>
          <w:szCs w:val="16"/>
          <w:lang w:val="en-US"/>
        </w:rPr>
      </w:pPr>
      <w:proofErr w:type="spellStart"/>
      <w:proofErr w:type="gramStart"/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t>a</w:t>
      </w:r>
      <w:r w:rsidRPr="00D05B41">
        <w:rPr>
          <w:rFonts w:ascii="Trebuchet MS" w:hAnsi="Trebuchet MS"/>
          <w:sz w:val="16"/>
          <w:szCs w:val="16"/>
          <w:lang w:val="en-US"/>
        </w:rPr>
        <w:t>N</w:t>
      </w:r>
      <w:proofErr w:type="spellEnd"/>
      <w:proofErr w:type="gramEnd"/>
      <w:r w:rsidRPr="00D05B41">
        <w:rPr>
          <w:rFonts w:ascii="Trebuchet MS" w:hAnsi="Trebuchet MS"/>
          <w:sz w:val="16"/>
          <w:szCs w:val="16"/>
          <w:lang w:val="en-US"/>
        </w:rPr>
        <w:t xml:space="preserve"> shows total number of patients with symptom at start study</w:t>
      </w:r>
    </w:p>
    <w:p w:rsidR="00EE28B3" w:rsidRDefault="00EE28B3">
      <w:pPr>
        <w:rPr>
          <w:rFonts w:ascii="Trebuchet MS" w:eastAsia="Calibri" w:hAnsi="Trebuchet MS" w:cs="Times New Roman"/>
          <w:sz w:val="16"/>
          <w:szCs w:val="16"/>
          <w:lang w:val="en-US"/>
        </w:rPr>
      </w:pPr>
      <w:bookmarkStart w:id="0" w:name="_GoBack"/>
      <w:bookmarkEnd w:id="0"/>
    </w:p>
    <w:sectPr w:rsidR="00EE28B3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866B2"/>
    <w:rsid w:val="001931FB"/>
    <w:rsid w:val="00211100"/>
    <w:rsid w:val="002D5053"/>
    <w:rsid w:val="003B02B1"/>
    <w:rsid w:val="003E7355"/>
    <w:rsid w:val="0046786B"/>
    <w:rsid w:val="00491425"/>
    <w:rsid w:val="00612258"/>
    <w:rsid w:val="00674E13"/>
    <w:rsid w:val="006C6DF9"/>
    <w:rsid w:val="006D5CDE"/>
    <w:rsid w:val="0079278B"/>
    <w:rsid w:val="00830934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AE409B"/>
    <w:rsid w:val="00B44057"/>
    <w:rsid w:val="00B5743D"/>
    <w:rsid w:val="00B706F9"/>
    <w:rsid w:val="00B93794"/>
    <w:rsid w:val="00BA4C2B"/>
    <w:rsid w:val="00BE4D5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82CA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1367</Words>
  <Characters>8618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2019-03-27T09:26:00Z</dcterms:created>
  <dcterms:modified xsi:type="dcterms:W3CDTF">2019-03-27T09:46:00Z</dcterms:modified>
</cp:coreProperties>
</file>