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8B3" w:rsidRPr="00921BD8" w:rsidRDefault="00EE28B3" w:rsidP="00EE28B3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 xml:space="preserve">Chapter </w:t>
      </w:r>
      <w:r>
        <w:rPr>
          <w:rFonts w:ascii="Trebuchet MS" w:hAnsi="Trebuchet MS"/>
          <w:b/>
          <w:sz w:val="32"/>
          <w:szCs w:val="32"/>
          <w:lang w:val="en-US"/>
        </w:rPr>
        <w:t>8</w:t>
      </w:r>
    </w:p>
    <w:p w:rsidR="00EE28B3" w:rsidRDefault="00EE28B3" w:rsidP="00EE28B3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1</w:t>
      </w:r>
      <w:r w:rsidRPr="00921BD8">
        <w:rPr>
          <w:rFonts w:ascii="Trebuchet MS" w:hAnsi="Trebuchet MS"/>
          <w:b/>
          <w:lang w:val="en-US"/>
        </w:rPr>
        <w:t xml:space="preserve">: </w:t>
      </w:r>
      <w:r>
        <w:rPr>
          <w:rFonts w:ascii="Trebuchet MS" w:hAnsi="Trebuchet MS"/>
          <w:b/>
          <w:lang w:val="en-US"/>
        </w:rPr>
        <w:t>Demographic characteristics</w:t>
      </w:r>
    </w:p>
    <w:tbl>
      <w:tblPr>
        <w:tblStyle w:val="MediumShading1-Accent11"/>
        <w:tblW w:w="8354" w:type="dxa"/>
        <w:tblLayout w:type="fixed"/>
        <w:tblLook w:val="0600" w:firstRow="0" w:lastRow="0" w:firstColumn="0" w:lastColumn="0" w:noHBand="1" w:noVBand="1"/>
      </w:tblPr>
      <w:tblGrid>
        <w:gridCol w:w="2117"/>
        <w:gridCol w:w="567"/>
        <w:gridCol w:w="992"/>
        <w:gridCol w:w="567"/>
        <w:gridCol w:w="850"/>
        <w:gridCol w:w="709"/>
        <w:gridCol w:w="851"/>
        <w:gridCol w:w="850"/>
        <w:gridCol w:w="851"/>
      </w:tblGrid>
      <w:tr w:rsidR="00EE28B3" w:rsidRPr="00EE28B3" w:rsidTr="00500E92">
        <w:trPr>
          <w:trHeight w:val="469"/>
        </w:trPr>
        <w:tc>
          <w:tcPr>
            <w:tcW w:w="211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rPr>
                <w:rFonts w:ascii="Trebuchet MS" w:eastAsia="Calibri" w:hAnsi="Trebuchet MS" w:cs="Times New Roman"/>
                <w:b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976" w:type="dxa"/>
            <w:gridSpan w:val="4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Berlin</w:t>
            </w:r>
          </w:p>
        </w:tc>
        <w:tc>
          <w:tcPr>
            <w:tcW w:w="3261" w:type="dxa"/>
            <w:gridSpan w:val="4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Leiden</w:t>
            </w:r>
          </w:p>
        </w:tc>
      </w:tr>
      <w:tr w:rsidR="00EE28B3" w:rsidRPr="00EE28B3" w:rsidTr="00500E92">
        <w:trPr>
          <w:trHeight w:val="469"/>
        </w:trPr>
        <w:tc>
          <w:tcPr>
            <w:tcW w:w="2117" w:type="dxa"/>
            <w:vMerge w:val="restart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rPr>
                <w:rFonts w:ascii="Trebuchet MS" w:eastAsia="Calibri" w:hAnsi="Trebuchet MS" w:cs="Times New Roman"/>
                <w:b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Adrenal crisis</w:t>
            </w:r>
          </w:p>
        </w:tc>
        <w:tc>
          <w:tcPr>
            <w:tcW w:w="1417" w:type="dxa"/>
            <w:gridSpan w:val="2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No adrenal crisis</w:t>
            </w:r>
          </w:p>
        </w:tc>
        <w:tc>
          <w:tcPr>
            <w:tcW w:w="1560" w:type="dxa"/>
            <w:gridSpan w:val="2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Adrenal crisis</w:t>
            </w:r>
          </w:p>
        </w:tc>
        <w:tc>
          <w:tcPr>
            <w:tcW w:w="1701" w:type="dxa"/>
            <w:gridSpan w:val="2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No adrenal crisis</w:t>
            </w:r>
          </w:p>
        </w:tc>
      </w:tr>
      <w:tr w:rsidR="00EE28B3" w:rsidRPr="00EE28B3" w:rsidTr="00500E92">
        <w:trPr>
          <w:trHeight w:val="322"/>
        </w:trPr>
        <w:tc>
          <w:tcPr>
            <w:tcW w:w="2117" w:type="dxa"/>
            <w:vMerge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</w:t>
            </w:r>
          </w:p>
        </w:tc>
        <w:tc>
          <w:tcPr>
            <w:tcW w:w="992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%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%</w:t>
            </w:r>
          </w:p>
        </w:tc>
        <w:tc>
          <w:tcPr>
            <w:tcW w:w="709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%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%</w:t>
            </w:r>
          </w:p>
        </w:tc>
      </w:tr>
      <w:tr w:rsidR="00EE28B3" w:rsidRPr="00EE28B3" w:rsidTr="00EE28B3">
        <w:trPr>
          <w:trHeight w:val="320"/>
        </w:trPr>
        <w:tc>
          <w:tcPr>
            <w:tcW w:w="211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Total number of patients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11</w:t>
            </w:r>
          </w:p>
        </w:tc>
        <w:tc>
          <w:tcPr>
            <w:tcW w:w="992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100.0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29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100.0</w:t>
            </w:r>
          </w:p>
        </w:tc>
        <w:tc>
          <w:tcPr>
            <w:tcW w:w="709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100.0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58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100.0</w:t>
            </w:r>
          </w:p>
        </w:tc>
      </w:tr>
      <w:tr w:rsidR="00EE28B3" w:rsidRPr="00EE28B3" w:rsidTr="00EE28B3">
        <w:trPr>
          <w:trHeight w:val="282"/>
        </w:trPr>
        <w:tc>
          <w:tcPr>
            <w:tcW w:w="211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Age at diagnosis, years*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45.2</w:t>
            </w:r>
          </w:p>
        </w:tc>
        <w:tc>
          <w:tcPr>
            <w:tcW w:w="992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15.3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42.3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13.2</w:t>
            </w:r>
          </w:p>
        </w:tc>
        <w:tc>
          <w:tcPr>
            <w:tcW w:w="709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47.6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8.0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43.2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15.6</w:t>
            </w:r>
          </w:p>
        </w:tc>
      </w:tr>
      <w:tr w:rsidR="00EE28B3" w:rsidRPr="00EE28B3" w:rsidTr="00EE28B3">
        <w:trPr>
          <w:trHeight w:val="230"/>
        </w:trPr>
        <w:tc>
          <w:tcPr>
            <w:tcW w:w="211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Sex (female)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</w:t>
            </w:r>
          </w:p>
        </w:tc>
        <w:tc>
          <w:tcPr>
            <w:tcW w:w="992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81.8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22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75.9</w:t>
            </w:r>
          </w:p>
        </w:tc>
        <w:tc>
          <w:tcPr>
            <w:tcW w:w="709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62.5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46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79.3</w:t>
            </w:r>
          </w:p>
        </w:tc>
      </w:tr>
      <w:tr w:rsidR="00EE28B3" w:rsidRPr="00EE28B3" w:rsidTr="00500E92">
        <w:trPr>
          <w:trHeight w:val="477"/>
        </w:trPr>
        <w:tc>
          <w:tcPr>
            <w:tcW w:w="211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Duration of follow-up (years)^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5.5</w:t>
            </w:r>
          </w:p>
        </w:tc>
        <w:tc>
          <w:tcPr>
            <w:tcW w:w="992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4.6-8.6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6.1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2.3-10.4</w:t>
            </w:r>
          </w:p>
        </w:tc>
        <w:tc>
          <w:tcPr>
            <w:tcW w:w="709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9.9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4.6-13.3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8.6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4.8-12.5</w:t>
            </w:r>
          </w:p>
        </w:tc>
      </w:tr>
      <w:tr w:rsidR="00EE28B3" w:rsidRPr="00EE28B3" w:rsidTr="00500E92">
        <w:trPr>
          <w:trHeight w:val="477"/>
        </w:trPr>
        <w:tc>
          <w:tcPr>
            <w:tcW w:w="211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rPr>
                <w:rFonts w:ascii="Trebuchet MS" w:eastAsia="Calibri" w:hAnsi="Trebuchet MS" w:cs="Times New Roman"/>
                <w:i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Cushing’s syndrome Severity Index score*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7.0</w:t>
            </w:r>
          </w:p>
        </w:tc>
        <w:tc>
          <w:tcPr>
            <w:tcW w:w="992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2.7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6.9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2.3</w:t>
            </w:r>
          </w:p>
        </w:tc>
        <w:tc>
          <w:tcPr>
            <w:tcW w:w="709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6.3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2.3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6.6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2.4</w:t>
            </w:r>
          </w:p>
        </w:tc>
      </w:tr>
      <w:tr w:rsidR="00EE28B3" w:rsidRPr="00EE28B3" w:rsidTr="00500E92">
        <w:trPr>
          <w:trHeight w:val="477"/>
        </w:trPr>
        <w:tc>
          <w:tcPr>
            <w:tcW w:w="211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rPr>
                <w:rFonts w:ascii="Trebuchet MS" w:eastAsia="Calibri" w:hAnsi="Trebuchet MS" w:cs="Times New Roman"/>
                <w:i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i/>
                <w:sz w:val="16"/>
                <w:szCs w:val="16"/>
                <w:lang w:val="en-US"/>
              </w:rPr>
              <w:t>Surgical treatment: transsphenoidal pituitary surgery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92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72.7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55.2</w:t>
            </w:r>
          </w:p>
        </w:tc>
        <w:tc>
          <w:tcPr>
            <w:tcW w:w="709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75.0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48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sz w:val="16"/>
                <w:szCs w:val="16"/>
                <w:lang w:val="en-US"/>
              </w:rPr>
              <w:t>82.8</w:t>
            </w:r>
          </w:p>
        </w:tc>
      </w:tr>
      <w:tr w:rsidR="00EE28B3" w:rsidRPr="00EE28B3" w:rsidTr="00500E92">
        <w:trPr>
          <w:trHeight w:val="477"/>
        </w:trPr>
        <w:tc>
          <w:tcPr>
            <w:tcW w:w="2117" w:type="dxa"/>
          </w:tcPr>
          <w:p w:rsidR="00EE28B3" w:rsidRPr="00EE28B3" w:rsidRDefault="00EE28B3" w:rsidP="00500E92">
            <w:pPr>
              <w:keepNext/>
              <w:keepLines/>
              <w:autoSpaceDE w:val="0"/>
              <w:autoSpaceDN w:val="0"/>
              <w:adjustRightInd w:val="0"/>
              <w:spacing w:before="60" w:after="60"/>
              <w:outlineLvl w:val="8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Comorbidities at diagnosis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992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709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EE28B3" w:rsidRPr="00EE28B3" w:rsidTr="00EE28B3">
        <w:trPr>
          <w:trHeight w:val="238"/>
        </w:trPr>
        <w:tc>
          <w:tcPr>
            <w:tcW w:w="2117" w:type="dxa"/>
          </w:tcPr>
          <w:p w:rsidR="00EE28B3" w:rsidRPr="00EE28B3" w:rsidRDefault="00EE28B3" w:rsidP="00EE28B3">
            <w:pPr>
              <w:pStyle w:val="Listenabsatz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Hypertension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</w:t>
            </w:r>
          </w:p>
        </w:tc>
        <w:tc>
          <w:tcPr>
            <w:tcW w:w="992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72.7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21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72.4</w:t>
            </w:r>
          </w:p>
        </w:tc>
        <w:tc>
          <w:tcPr>
            <w:tcW w:w="709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62.5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45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77.6</w:t>
            </w:r>
          </w:p>
        </w:tc>
      </w:tr>
      <w:tr w:rsidR="00EE28B3" w:rsidRPr="00EE28B3" w:rsidTr="00EE28B3">
        <w:trPr>
          <w:trHeight w:val="441"/>
        </w:trPr>
        <w:tc>
          <w:tcPr>
            <w:tcW w:w="2117" w:type="dxa"/>
          </w:tcPr>
          <w:p w:rsidR="00EE28B3" w:rsidRPr="00EE28B3" w:rsidRDefault="00EE28B3" w:rsidP="00EE28B3">
            <w:pPr>
              <w:pStyle w:val="Listenabsatz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rebuchet MS" w:eastAsia="Calibri" w:hAnsi="Trebuchet MS" w:cs="Times New Roman"/>
                <w:i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i/>
                <w:sz w:val="16"/>
                <w:szCs w:val="16"/>
                <w:lang w:val="en-US"/>
              </w:rPr>
              <w:t>Diabetes mellitus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</w:t>
            </w:r>
          </w:p>
        </w:tc>
        <w:tc>
          <w:tcPr>
            <w:tcW w:w="992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63.6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34.5</w:t>
            </w:r>
          </w:p>
        </w:tc>
        <w:tc>
          <w:tcPr>
            <w:tcW w:w="709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75.0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11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19.0</w:t>
            </w:r>
          </w:p>
        </w:tc>
      </w:tr>
      <w:tr w:rsidR="00EE28B3" w:rsidRPr="00EE28B3" w:rsidTr="00EE28B3">
        <w:trPr>
          <w:trHeight w:val="294"/>
        </w:trPr>
        <w:tc>
          <w:tcPr>
            <w:tcW w:w="2117" w:type="dxa"/>
          </w:tcPr>
          <w:p w:rsidR="00EE28B3" w:rsidRPr="00EE28B3" w:rsidRDefault="00EE28B3" w:rsidP="00EE28B3">
            <w:pPr>
              <w:pStyle w:val="Listenabsatz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rebuchet MS" w:eastAsia="Calibri" w:hAnsi="Trebuchet MS" w:cs="Times New Roman"/>
                <w:i/>
                <w:sz w:val="16"/>
                <w:szCs w:val="16"/>
                <w:lang w:val="en-US"/>
              </w:rPr>
            </w:pPr>
            <w:r w:rsidRPr="00EE28B3">
              <w:rPr>
                <w:rFonts w:ascii="Trebuchet MS" w:eastAsia="Calibri" w:hAnsi="Trebuchet MS" w:cs="Times New Roman"/>
                <w:i/>
                <w:sz w:val="16"/>
                <w:szCs w:val="16"/>
                <w:lang w:val="en-US"/>
              </w:rPr>
              <w:t>Dyslipidemia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992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36.4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20.7</w:t>
            </w:r>
          </w:p>
        </w:tc>
        <w:tc>
          <w:tcPr>
            <w:tcW w:w="709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25.0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8.6</w:t>
            </w:r>
          </w:p>
        </w:tc>
      </w:tr>
      <w:tr w:rsidR="00EE28B3" w:rsidRPr="00EE28B3" w:rsidTr="00500E92">
        <w:trPr>
          <w:trHeight w:val="477"/>
        </w:trPr>
        <w:tc>
          <w:tcPr>
            <w:tcW w:w="211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Patients with pituitary microadenoma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992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42.9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81.3</w:t>
            </w:r>
          </w:p>
        </w:tc>
        <w:tc>
          <w:tcPr>
            <w:tcW w:w="709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50.0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36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73.5</w:t>
            </w:r>
          </w:p>
        </w:tc>
      </w:tr>
      <w:tr w:rsidR="00EE28B3" w:rsidRPr="00EE28B3" w:rsidTr="00EE28B3">
        <w:trPr>
          <w:trHeight w:val="292"/>
        </w:trPr>
        <w:tc>
          <w:tcPr>
            <w:tcW w:w="211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Prior medical treatment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992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20.0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6.9</w:t>
            </w:r>
          </w:p>
        </w:tc>
        <w:tc>
          <w:tcPr>
            <w:tcW w:w="709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75.0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48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84.2</w:t>
            </w:r>
          </w:p>
        </w:tc>
      </w:tr>
    </w:tbl>
    <w:p w:rsidR="00EE28B3" w:rsidRPr="00EE28B3" w:rsidRDefault="00EE28B3" w:rsidP="00EE28B3">
      <w:pPr>
        <w:rPr>
          <w:rFonts w:ascii="Trebuchet MS" w:hAnsi="Trebuchet MS" w:cs="Times New Roman"/>
          <w:sz w:val="16"/>
          <w:szCs w:val="16"/>
        </w:rPr>
      </w:pPr>
      <w:r w:rsidRPr="00EE28B3">
        <w:rPr>
          <w:rFonts w:ascii="Trebuchet MS" w:hAnsi="Trebuchet MS" w:cs="Times New Roman"/>
          <w:sz w:val="16"/>
          <w:szCs w:val="16"/>
        </w:rPr>
        <w:t>*</w:t>
      </w:r>
      <w:proofErr w:type="spellStart"/>
      <w:r w:rsidRPr="00EE28B3">
        <w:rPr>
          <w:rFonts w:ascii="Trebuchet MS" w:hAnsi="Trebuchet MS" w:cs="Times New Roman"/>
          <w:sz w:val="16"/>
          <w:szCs w:val="16"/>
        </w:rPr>
        <w:t>mean</w:t>
      </w:r>
      <w:proofErr w:type="spellEnd"/>
      <w:r w:rsidRPr="00EE28B3">
        <w:rPr>
          <w:rFonts w:ascii="Trebuchet MS" w:hAnsi="Trebuchet MS" w:cs="Times New Roman"/>
          <w:sz w:val="16"/>
          <w:szCs w:val="16"/>
        </w:rPr>
        <w:t xml:space="preserve"> + </w:t>
      </w:r>
      <w:proofErr w:type="spellStart"/>
      <w:r w:rsidRPr="00EE28B3">
        <w:rPr>
          <w:rFonts w:ascii="Trebuchet MS" w:hAnsi="Trebuchet MS" w:cs="Times New Roman"/>
          <w:sz w:val="16"/>
          <w:szCs w:val="16"/>
        </w:rPr>
        <w:t>standard</w:t>
      </w:r>
      <w:proofErr w:type="spellEnd"/>
      <w:r w:rsidRPr="00EE28B3">
        <w:rPr>
          <w:rFonts w:ascii="Trebuchet MS" w:hAnsi="Trebuchet MS" w:cs="Times New Roman"/>
          <w:sz w:val="16"/>
          <w:szCs w:val="16"/>
        </w:rPr>
        <w:t xml:space="preserve"> </w:t>
      </w:r>
      <w:proofErr w:type="spellStart"/>
      <w:r w:rsidRPr="00EE28B3">
        <w:rPr>
          <w:rFonts w:ascii="Trebuchet MS" w:hAnsi="Trebuchet MS" w:cs="Times New Roman"/>
          <w:sz w:val="16"/>
          <w:szCs w:val="16"/>
        </w:rPr>
        <w:t>deviation</w:t>
      </w:r>
      <w:proofErr w:type="spellEnd"/>
      <w:r w:rsidRPr="00EE28B3">
        <w:rPr>
          <w:rFonts w:ascii="Trebuchet MS" w:hAnsi="Trebuchet MS" w:cs="Times New Roman"/>
          <w:sz w:val="16"/>
          <w:szCs w:val="16"/>
        </w:rPr>
        <w:t>; ^median + IQR</w:t>
      </w:r>
    </w:p>
    <w:p w:rsidR="00EE28B3" w:rsidRDefault="00EE28B3">
      <w:pPr>
        <w:rPr>
          <w:rFonts w:ascii="Trebuchet MS" w:hAnsi="Trebuchet MS"/>
          <w:b/>
          <w:sz w:val="32"/>
          <w:szCs w:val="32"/>
          <w:lang w:val="en-US"/>
        </w:rPr>
      </w:pPr>
      <w:bookmarkStart w:id="0" w:name="_GoBack"/>
      <w:bookmarkEnd w:id="0"/>
    </w:p>
    <w:sectPr w:rsidR="00EE28B3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13274"/>
    <w:rsid w:val="0009274D"/>
    <w:rsid w:val="000F2828"/>
    <w:rsid w:val="00104C4D"/>
    <w:rsid w:val="001931FB"/>
    <w:rsid w:val="00211100"/>
    <w:rsid w:val="00246CEC"/>
    <w:rsid w:val="002D5053"/>
    <w:rsid w:val="003B02B1"/>
    <w:rsid w:val="003E7355"/>
    <w:rsid w:val="0046786B"/>
    <w:rsid w:val="00491425"/>
    <w:rsid w:val="00612258"/>
    <w:rsid w:val="00674E13"/>
    <w:rsid w:val="006C6DF9"/>
    <w:rsid w:val="006D5CDE"/>
    <w:rsid w:val="0079278B"/>
    <w:rsid w:val="00830934"/>
    <w:rsid w:val="008F5F34"/>
    <w:rsid w:val="00921BD8"/>
    <w:rsid w:val="00952CAA"/>
    <w:rsid w:val="009533EB"/>
    <w:rsid w:val="009762D8"/>
    <w:rsid w:val="0099701A"/>
    <w:rsid w:val="009A2F59"/>
    <w:rsid w:val="00A31531"/>
    <w:rsid w:val="00A432B8"/>
    <w:rsid w:val="00A6362C"/>
    <w:rsid w:val="00AE409B"/>
    <w:rsid w:val="00B44057"/>
    <w:rsid w:val="00B5743D"/>
    <w:rsid w:val="00B706F9"/>
    <w:rsid w:val="00B93794"/>
    <w:rsid w:val="00BA4C2B"/>
    <w:rsid w:val="00BE4D54"/>
    <w:rsid w:val="00C13EAE"/>
    <w:rsid w:val="00D05B41"/>
    <w:rsid w:val="00D631C3"/>
    <w:rsid w:val="00E54D02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34942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2019-03-27T09:26:00Z</dcterms:created>
  <dcterms:modified xsi:type="dcterms:W3CDTF">2019-03-27T09:46:00Z</dcterms:modified>
</cp:coreProperties>
</file>