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F59" w:rsidRPr="00921BD8" w:rsidRDefault="009A2F59" w:rsidP="009A2F59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>Chapter 2</w:t>
      </w:r>
    </w:p>
    <w:p w:rsidR="009A2F59" w:rsidRDefault="009A2F59" w:rsidP="009A2F59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5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Risk of bias assessment</w:t>
      </w:r>
    </w:p>
    <w:tbl>
      <w:tblPr>
        <w:tblW w:w="118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50"/>
        <w:gridCol w:w="1643"/>
        <w:gridCol w:w="601"/>
        <w:gridCol w:w="391"/>
        <w:gridCol w:w="1559"/>
        <w:gridCol w:w="250"/>
        <w:gridCol w:w="269"/>
        <w:gridCol w:w="1182"/>
        <w:gridCol w:w="1843"/>
        <w:gridCol w:w="2126"/>
      </w:tblGrid>
      <w:tr w:rsidR="00B706F9" w:rsidRPr="002B09A4" w:rsidTr="008F5F34">
        <w:trPr>
          <w:trHeight w:val="563"/>
        </w:trPr>
        <w:tc>
          <w:tcPr>
            <w:tcW w:w="1950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First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author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year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Consecutive patients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br/>
              <w:t>or random sample exposed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Eligibility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criteria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reported</w:t>
            </w:r>
            <w:proofErr w:type="spellEnd"/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Ascertainment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exposure</w:t>
            </w:r>
            <w:proofErr w:type="spellEnd"/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Cut-off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value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cortisol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*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Assay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cortisol</w:t>
            </w:r>
            <w:proofErr w:type="spellEnd"/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Number of patients lost to follow-up (%)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Carruthers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Allenby (1975)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Bondarevsky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 (3.6%)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KS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Krupin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200 nmol/L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¥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Spiegel (1979)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Smith (1983)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Canafax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Rodger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Ruiz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Muñoz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Medical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record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Shapiro (1990)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76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525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Brown_1 (1990)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Bromberg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56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Brown_2 (1991)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Schlaghecke (1992)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552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Svendsen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91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Hirano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LaRochelle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Medical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record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525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Carella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Brown_3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 (6.1%)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Visscher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Kane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Hanania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Broide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Greenberg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23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 (2.9%)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Hasegawa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58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Wasserman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22</w:t>
            </w:r>
          </w:p>
        </w:tc>
        <w:tc>
          <w:tcPr>
            <w:tcW w:w="1643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Grebe (1997)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59</w:t>
            </w:r>
          </w:p>
        </w:tc>
        <w:tc>
          <w:tcPr>
            <w:tcW w:w="16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Clark (1997)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Kos-Kudla_1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AM_1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33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Aaronson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26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79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Vargas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 SD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$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97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Gazis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520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Enzyme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assay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Franz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Sorkness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 (0.5%)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Nelson_1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12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Li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32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 (1.0%)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AM_2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Gellner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Gupta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28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Henzen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Enzyme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assay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Affrime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Nelson_2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36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 (9.2%)</w:t>
            </w:r>
          </w:p>
        </w:tc>
      </w:tr>
      <w:tr w:rsidR="009A2F59" w:rsidRPr="008F5F34" w:rsidTr="00B706F9">
        <w:trPr>
          <w:trHeight w:val="196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Patel_1 (2001)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82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Enzyme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assay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70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Skov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62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146"/>
        </w:trPr>
        <w:tc>
          <w:tcPr>
            <w:tcW w:w="195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Boots (2002)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37</w:t>
            </w:r>
          </w:p>
        </w:tc>
        <w:tc>
          <w:tcPr>
            <w:tcW w:w="16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Enzyme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assay</w:t>
            </w:r>
            <w:proofErr w:type="spellEnd"/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20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Niitsuma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370 nmol/L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§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Kos-Kudla_2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96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Nguyen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64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Chemiluminescence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300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Patel_2 (2004)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39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Enzyme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assay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Lee (2004)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40</w:t>
            </w:r>
          </w:p>
        </w:tc>
        <w:tc>
          <w:tcPr>
            <w:tcW w:w="1643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Baz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-Hecht (2005)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65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Bonfils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1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Kirwan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 SD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#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Chromato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graphy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Schlessinger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42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Andres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198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White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Chemilumi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nescence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Duclos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304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Holme (2008)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Chemilumi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nescence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511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Gonzalez-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Moles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66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Fleming 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46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93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Neidert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Chemilumi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nescence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 (2.6%)</w:t>
            </w:r>
          </w:p>
        </w:tc>
      </w:tr>
      <w:tr w:rsidR="009A2F59" w:rsidRPr="008F5F34" w:rsidTr="00B706F9">
        <w:trPr>
          <w:trHeight w:val="269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Moghaddam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Enzyme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assay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 (3.2%)</w:t>
            </w:r>
          </w:p>
        </w:tc>
      </w:tr>
      <w:tr w:rsidR="009A2F59" w:rsidRPr="008F5F34" w:rsidTr="00B706F9">
        <w:trPr>
          <w:trHeight w:val="301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Sandhu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Chemilumi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nescence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Han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 (1.9%)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Gilchrist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Habib_1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Kasayama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Silver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Jamilloux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580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 (12.7%)</w:t>
            </w:r>
          </w:p>
        </w:tc>
      </w:tr>
      <w:tr w:rsidR="009A2F59" w:rsidRPr="008F5F34" w:rsidTr="00B706F9">
        <w:trPr>
          <w:trHeight w:val="298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Sacre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Unclear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A2F59" w:rsidRPr="008F5F34" w:rsidRDefault="00B706F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Chemilumi</w:t>
            </w:r>
            <w:r w:rsidR="009A2F5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nescence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56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Habib_2 (2014)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8F5F34" w:rsidTr="00B706F9">
        <w:trPr>
          <w:trHeight w:val="271"/>
        </w:trPr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Habib_3 (2014)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Protocol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500 nmol/L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Fluorimetry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9A2F59" w:rsidRPr="002B09A4" w:rsidTr="00B706F9">
        <w:trPr>
          <w:trHeight w:val="256"/>
        </w:trPr>
        <w:tc>
          <w:tcPr>
            <w:tcW w:w="63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B706F9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.</w:t>
            </w:r>
            <w:r w:rsidR="00B706F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=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not reported</w:t>
            </w:r>
            <w:r w:rsidR="00B706F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,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n.a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.</w:t>
            </w:r>
            <w:r w:rsidR="00B706F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=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not applicable</w:t>
            </w:r>
            <w:r w:rsidR="00B706F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,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RIA</w:t>
            </w:r>
            <w:r w:rsidR="00B706F9"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=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radioimmunoassay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9A2F59" w:rsidRPr="002B09A4" w:rsidTr="00B706F9">
        <w:trPr>
          <w:trHeight w:val="256"/>
        </w:trPr>
        <w:tc>
          <w:tcPr>
            <w:tcW w:w="6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*used cut-off for this meta-analysis, presented in nmol/L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9A2F59" w:rsidRPr="002B09A4" w:rsidTr="00B706F9">
        <w:trPr>
          <w:trHeight w:val="286"/>
        </w:trPr>
        <w:tc>
          <w:tcPr>
            <w:tcW w:w="6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$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-2 standard deviations below mean of placebo group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9A2F59" w:rsidRPr="002B09A4" w:rsidTr="00B706F9">
        <w:trPr>
          <w:trHeight w:val="286"/>
        </w:trPr>
        <w:tc>
          <w:tcPr>
            <w:tcW w:w="4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§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lower cut-off due to assay technique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9A2F59" w:rsidRPr="002B09A4" w:rsidTr="00B706F9">
        <w:trPr>
          <w:trHeight w:val="286"/>
        </w:trPr>
        <w:tc>
          <w:tcPr>
            <w:tcW w:w="6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#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-2 standard deviations below pretreatment maximum value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9A2F59" w:rsidRPr="002B09A4" w:rsidTr="00B706F9">
        <w:trPr>
          <w:trHeight w:val="286"/>
        </w:trPr>
        <w:tc>
          <w:tcPr>
            <w:tcW w:w="61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¥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cut-off after metyrapone test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A2F59" w:rsidRPr="008F5F34" w:rsidRDefault="009A2F59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</w:p>
        </w:tc>
      </w:tr>
    </w:tbl>
    <w:p w:rsidR="009A2F59" w:rsidRPr="009A2F59" w:rsidRDefault="009A2F59" w:rsidP="009A2F59">
      <w:pPr>
        <w:rPr>
          <w:lang w:val="en-US"/>
        </w:rPr>
      </w:pPr>
    </w:p>
    <w:p w:rsidR="00D631C3" w:rsidRDefault="00D631C3">
      <w:pPr>
        <w:rPr>
          <w:sz w:val="18"/>
          <w:szCs w:val="18"/>
          <w:lang w:val="en-US"/>
        </w:rPr>
      </w:pPr>
      <w:bookmarkStart w:id="0" w:name="_GoBack"/>
      <w:bookmarkEnd w:id="0"/>
    </w:p>
    <w:sectPr w:rsidR="00D631C3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F2828"/>
    <w:rsid w:val="00104C4D"/>
    <w:rsid w:val="002B09A4"/>
    <w:rsid w:val="002D5053"/>
    <w:rsid w:val="003B02B1"/>
    <w:rsid w:val="0046786B"/>
    <w:rsid w:val="00491425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A056A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2019-03-27T09:24:00Z</dcterms:created>
  <dcterms:modified xsi:type="dcterms:W3CDTF">2019-03-27T09:33:00Z</dcterms:modified>
</cp:coreProperties>
</file>