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8B3" w:rsidRPr="00921BD8" w:rsidRDefault="00EE28B3" w:rsidP="00EE28B3">
      <w:pPr>
        <w:rPr>
          <w:rFonts w:ascii="Trebuchet MS" w:hAnsi="Trebuchet MS"/>
          <w:b/>
          <w:sz w:val="32"/>
          <w:szCs w:val="32"/>
          <w:lang w:val="en-US"/>
        </w:rPr>
      </w:pPr>
      <w:bookmarkStart w:id="0" w:name="_GoBack"/>
      <w:bookmarkEnd w:id="0"/>
      <w:r w:rsidRPr="00921BD8">
        <w:rPr>
          <w:rFonts w:ascii="Trebuchet MS" w:hAnsi="Trebuchet MS"/>
          <w:b/>
          <w:sz w:val="32"/>
          <w:szCs w:val="32"/>
          <w:lang w:val="en-US"/>
        </w:rPr>
        <w:t xml:space="preserve">Chapter </w:t>
      </w:r>
      <w:r>
        <w:rPr>
          <w:rFonts w:ascii="Trebuchet MS" w:hAnsi="Trebuchet MS"/>
          <w:b/>
          <w:sz w:val="32"/>
          <w:szCs w:val="32"/>
          <w:lang w:val="en-US"/>
        </w:rPr>
        <w:t>8</w:t>
      </w:r>
    </w:p>
    <w:p w:rsidR="00EE28B3" w:rsidRDefault="00EE28B3" w:rsidP="00EE28B3">
      <w:pPr>
        <w:rPr>
          <w:rFonts w:ascii="Trebuchet MS" w:hAnsi="Trebuchet MS"/>
          <w:b/>
          <w:lang w:val="en-US"/>
        </w:rPr>
      </w:pPr>
      <w:r w:rsidRPr="00921BD8">
        <w:rPr>
          <w:rFonts w:ascii="Trebuchet MS" w:hAnsi="Trebuchet MS"/>
          <w:b/>
          <w:lang w:val="en-US"/>
        </w:rPr>
        <w:t xml:space="preserve">Supplemental Data </w:t>
      </w:r>
      <w:r>
        <w:rPr>
          <w:rFonts w:ascii="Trebuchet MS" w:hAnsi="Trebuchet MS"/>
          <w:b/>
          <w:lang w:val="en-US"/>
        </w:rPr>
        <w:t>2</w:t>
      </w:r>
      <w:r w:rsidRPr="00921BD8">
        <w:rPr>
          <w:rFonts w:ascii="Trebuchet MS" w:hAnsi="Trebuchet MS"/>
          <w:b/>
          <w:lang w:val="en-US"/>
        </w:rPr>
        <w:t xml:space="preserve">: </w:t>
      </w:r>
      <w:r w:rsidRPr="00EE28B3">
        <w:rPr>
          <w:rFonts w:ascii="Trebuchet MS" w:hAnsi="Trebuchet MS"/>
          <w:b/>
          <w:lang w:val="en-US"/>
        </w:rPr>
        <w:t>Adrenal crisis, (surgi</w:t>
      </w:r>
      <w:r>
        <w:rPr>
          <w:rFonts w:ascii="Trebuchet MS" w:hAnsi="Trebuchet MS"/>
          <w:b/>
          <w:lang w:val="en-US"/>
        </w:rPr>
        <w:t>cal) outcome, and complications</w:t>
      </w:r>
    </w:p>
    <w:tbl>
      <w:tblPr>
        <w:tblStyle w:val="MediumShading1-Accent11"/>
        <w:tblW w:w="8495" w:type="dxa"/>
        <w:tblLayout w:type="fixed"/>
        <w:tblLook w:val="0600" w:firstRow="0" w:lastRow="0" w:firstColumn="0" w:lastColumn="0" w:noHBand="1" w:noVBand="1"/>
      </w:tblPr>
      <w:tblGrid>
        <w:gridCol w:w="2684"/>
        <w:gridCol w:w="708"/>
        <w:gridCol w:w="851"/>
        <w:gridCol w:w="567"/>
        <w:gridCol w:w="850"/>
        <w:gridCol w:w="567"/>
        <w:gridCol w:w="851"/>
        <w:gridCol w:w="567"/>
        <w:gridCol w:w="850"/>
      </w:tblGrid>
      <w:tr w:rsidR="00EE28B3" w:rsidRPr="00EE28B3" w:rsidTr="00500E92">
        <w:trPr>
          <w:trHeight w:val="479"/>
        </w:trPr>
        <w:tc>
          <w:tcPr>
            <w:tcW w:w="2684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rPr>
                <w:rFonts w:ascii="Trebuchet MS" w:eastAsia="Calibri" w:hAnsi="Trebuchet MS" w:cs="Times New Roman"/>
                <w:b/>
                <w:i/>
                <w:sz w:val="16"/>
                <w:szCs w:val="16"/>
                <w:lang w:val="en-US"/>
              </w:rPr>
            </w:pPr>
          </w:p>
        </w:tc>
        <w:tc>
          <w:tcPr>
            <w:tcW w:w="2976" w:type="dxa"/>
            <w:gridSpan w:val="4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Berlin</w:t>
            </w:r>
          </w:p>
        </w:tc>
        <w:tc>
          <w:tcPr>
            <w:tcW w:w="2835" w:type="dxa"/>
            <w:gridSpan w:val="4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Leiden</w:t>
            </w:r>
          </w:p>
        </w:tc>
      </w:tr>
      <w:tr w:rsidR="00EE28B3" w:rsidRPr="00EE28B3" w:rsidTr="00500E92">
        <w:trPr>
          <w:trHeight w:val="479"/>
        </w:trPr>
        <w:tc>
          <w:tcPr>
            <w:tcW w:w="2684" w:type="dxa"/>
            <w:vMerge w:val="restart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rPr>
                <w:rFonts w:ascii="Trebuchet MS" w:eastAsia="Calibri" w:hAnsi="Trebuchet MS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Adrenal crisis</w:t>
            </w:r>
          </w:p>
        </w:tc>
        <w:tc>
          <w:tcPr>
            <w:tcW w:w="1417" w:type="dxa"/>
            <w:gridSpan w:val="2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No adrenal crisis</w:t>
            </w:r>
          </w:p>
        </w:tc>
        <w:tc>
          <w:tcPr>
            <w:tcW w:w="1418" w:type="dxa"/>
            <w:gridSpan w:val="2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Adrenal crisis</w:t>
            </w:r>
          </w:p>
        </w:tc>
        <w:tc>
          <w:tcPr>
            <w:tcW w:w="1417" w:type="dxa"/>
            <w:gridSpan w:val="2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No adrenal crisis</w:t>
            </w:r>
          </w:p>
        </w:tc>
      </w:tr>
      <w:tr w:rsidR="00EE28B3" w:rsidRPr="00EE28B3" w:rsidTr="00500E92">
        <w:trPr>
          <w:trHeight w:val="335"/>
        </w:trPr>
        <w:tc>
          <w:tcPr>
            <w:tcW w:w="2684" w:type="dxa"/>
            <w:vMerge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</w:p>
        </w:tc>
        <w:tc>
          <w:tcPr>
            <w:tcW w:w="708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%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%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%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%</w:t>
            </w:r>
          </w:p>
        </w:tc>
      </w:tr>
      <w:tr w:rsidR="00EE28B3" w:rsidRPr="00EC0001" w:rsidTr="00EE28B3">
        <w:trPr>
          <w:trHeight w:val="164"/>
        </w:trPr>
        <w:tc>
          <w:tcPr>
            <w:tcW w:w="2684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 xml:space="preserve">Adrenal crisis </w:t>
            </w:r>
          </w:p>
        </w:tc>
        <w:tc>
          <w:tcPr>
            <w:tcW w:w="2976" w:type="dxa"/>
            <w:gridSpan w:val="4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 crises in 129 patient-years at risk</w:t>
            </w:r>
          </w:p>
        </w:tc>
        <w:tc>
          <w:tcPr>
            <w:tcW w:w="2835" w:type="dxa"/>
            <w:gridSpan w:val="4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22 crises in 328 patient-years at risk</w:t>
            </w:r>
          </w:p>
        </w:tc>
      </w:tr>
      <w:tr w:rsidR="00EE28B3" w:rsidRPr="00EE28B3" w:rsidTr="00500E92">
        <w:trPr>
          <w:trHeight w:val="496"/>
        </w:trPr>
        <w:tc>
          <w:tcPr>
            <w:tcW w:w="2684" w:type="dxa"/>
          </w:tcPr>
          <w:p w:rsidR="00EE28B3" w:rsidRPr="00EE28B3" w:rsidRDefault="00EE28B3" w:rsidP="00500E9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Number of crises per patient</w:t>
            </w: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vertAlign w:val="superscript"/>
                <w:lang w:val="en-US" w:eastAsia="nl-NL"/>
              </w:rPr>
              <w:t>#</w:t>
            </w:r>
          </w:p>
        </w:tc>
        <w:tc>
          <w:tcPr>
            <w:tcW w:w="708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1.7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1-4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2.8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1-7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</w:tr>
      <w:tr w:rsidR="00EE28B3" w:rsidRPr="00EE28B3" w:rsidTr="00500E92">
        <w:trPr>
          <w:trHeight w:val="496"/>
        </w:trPr>
        <w:tc>
          <w:tcPr>
            <w:tcW w:w="2684" w:type="dxa"/>
          </w:tcPr>
          <w:p w:rsidR="00EE28B3" w:rsidRPr="00EE28B3" w:rsidRDefault="00EE28B3" w:rsidP="00500E9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Type of hospital admission</w:t>
            </w: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br/>
              <w:t>- Regular ward</w:t>
            </w: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br/>
              <w:t>- Intensive care</w:t>
            </w:r>
          </w:p>
        </w:tc>
        <w:tc>
          <w:tcPr>
            <w:tcW w:w="708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18</w:t>
            </w: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1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94.7</w:t>
            </w: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5.3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22</w:t>
            </w: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0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100.0</w:t>
            </w: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0.0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</w:tr>
      <w:tr w:rsidR="00EE28B3" w:rsidRPr="00EE28B3" w:rsidTr="00500E92">
        <w:trPr>
          <w:trHeight w:val="496"/>
        </w:trPr>
        <w:tc>
          <w:tcPr>
            <w:tcW w:w="2684" w:type="dxa"/>
          </w:tcPr>
          <w:p w:rsidR="00EE28B3" w:rsidRPr="00EE28B3" w:rsidRDefault="00EE28B3" w:rsidP="00500E9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Duration of hospital stay (days)^</w:t>
            </w:r>
          </w:p>
        </w:tc>
        <w:tc>
          <w:tcPr>
            <w:tcW w:w="708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highlight w:val="yellow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5-12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2-5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</w:tr>
      <w:tr w:rsidR="00EE28B3" w:rsidRPr="00EE28B3" w:rsidTr="00500E92">
        <w:trPr>
          <w:trHeight w:val="496"/>
        </w:trPr>
        <w:tc>
          <w:tcPr>
            <w:tcW w:w="2684" w:type="dxa"/>
          </w:tcPr>
          <w:p w:rsidR="00EE28B3" w:rsidRPr="00EE28B3" w:rsidRDefault="00EE28B3" w:rsidP="00EE28B3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Hydrocortisone dose at hospital admission (mg/day)</w:t>
            </w: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vertAlign w:val="superscript"/>
                <w:lang w:val="en-US" w:eastAsia="nl-NL"/>
              </w:rPr>
              <w:t xml:space="preserve"> #</w:t>
            </w:r>
          </w:p>
        </w:tc>
        <w:tc>
          <w:tcPr>
            <w:tcW w:w="708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highlight w:val="yellow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40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0-100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0-30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</w:tr>
      <w:tr w:rsidR="00EE28B3" w:rsidRPr="00EE28B3" w:rsidTr="00500E92">
        <w:trPr>
          <w:trHeight w:val="496"/>
        </w:trPr>
        <w:tc>
          <w:tcPr>
            <w:tcW w:w="2684" w:type="dxa"/>
          </w:tcPr>
          <w:p w:rsidR="00EE28B3" w:rsidRPr="00EE28B3" w:rsidRDefault="00EE28B3" w:rsidP="00EE28B3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Subphysiological dose of hydrocortisone replacement</w:t>
            </w:r>
          </w:p>
        </w:tc>
        <w:tc>
          <w:tcPr>
            <w:tcW w:w="708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5.3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27.3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</w:tr>
      <w:tr w:rsidR="00EE28B3" w:rsidRPr="00EE28B3" w:rsidTr="00EE28B3">
        <w:trPr>
          <w:trHeight w:val="302"/>
        </w:trPr>
        <w:tc>
          <w:tcPr>
            <w:tcW w:w="2684" w:type="dxa"/>
          </w:tcPr>
          <w:p w:rsidR="00EE28B3" w:rsidRPr="00EE28B3" w:rsidRDefault="00EE28B3" w:rsidP="00EE28B3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Infection</w:t>
            </w:r>
          </w:p>
        </w:tc>
        <w:tc>
          <w:tcPr>
            <w:tcW w:w="708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13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68.4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16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72.7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</w:tr>
      <w:tr w:rsidR="00EE28B3" w:rsidRPr="00EE28B3" w:rsidTr="00EE28B3">
        <w:trPr>
          <w:trHeight w:val="236"/>
        </w:trPr>
        <w:tc>
          <w:tcPr>
            <w:tcW w:w="2684" w:type="dxa"/>
          </w:tcPr>
          <w:p w:rsidR="00EE28B3" w:rsidRPr="00EE28B3" w:rsidRDefault="00EE28B3" w:rsidP="00EE28B3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Psychological stress</w:t>
            </w:r>
          </w:p>
        </w:tc>
        <w:tc>
          <w:tcPr>
            <w:tcW w:w="708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0.0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9.1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-</w:t>
            </w:r>
          </w:p>
        </w:tc>
      </w:tr>
      <w:tr w:rsidR="00EE28B3" w:rsidRPr="00EE28B3" w:rsidTr="00EE28B3">
        <w:trPr>
          <w:trHeight w:val="312"/>
        </w:trPr>
        <w:tc>
          <w:tcPr>
            <w:tcW w:w="2684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Surgical outcome</w:t>
            </w:r>
          </w:p>
        </w:tc>
        <w:tc>
          <w:tcPr>
            <w:tcW w:w="708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EE28B3" w:rsidRPr="00EE28B3" w:rsidTr="00500E92">
        <w:trPr>
          <w:trHeight w:val="496"/>
        </w:trPr>
        <w:tc>
          <w:tcPr>
            <w:tcW w:w="2684" w:type="dxa"/>
          </w:tcPr>
          <w:p w:rsidR="00EE28B3" w:rsidRPr="00EE28B3" w:rsidRDefault="00EE28B3" w:rsidP="00EE28B3">
            <w:pPr>
              <w:pStyle w:val="Listenabsatz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Hydrocortisone dose (mg/day) at discharge^</w:t>
            </w:r>
          </w:p>
        </w:tc>
        <w:tc>
          <w:tcPr>
            <w:tcW w:w="708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50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35-65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30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20-50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0-35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20-40</w:t>
            </w:r>
          </w:p>
        </w:tc>
      </w:tr>
      <w:tr w:rsidR="00EE28B3" w:rsidRPr="00EE28B3" w:rsidTr="00500E92">
        <w:trPr>
          <w:trHeight w:val="496"/>
        </w:trPr>
        <w:tc>
          <w:tcPr>
            <w:tcW w:w="2684" w:type="dxa"/>
          </w:tcPr>
          <w:p w:rsidR="00EE28B3" w:rsidRPr="00EE28B3" w:rsidRDefault="00EE28B3" w:rsidP="00EE28B3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Serum cortisol direct postoperatively (nmol/L)^°</w:t>
            </w:r>
          </w:p>
        </w:tc>
        <w:tc>
          <w:tcPr>
            <w:tcW w:w="708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30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20-30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40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10-380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290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10-780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40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20-70</w:t>
            </w:r>
          </w:p>
        </w:tc>
      </w:tr>
      <w:tr w:rsidR="00EE28B3" w:rsidRPr="00EE28B3" w:rsidTr="00500E92">
        <w:trPr>
          <w:trHeight w:val="496"/>
        </w:trPr>
        <w:tc>
          <w:tcPr>
            <w:tcW w:w="2684" w:type="dxa"/>
          </w:tcPr>
          <w:p w:rsidR="00EE28B3" w:rsidRPr="00EE28B3" w:rsidRDefault="00EE28B3" w:rsidP="00EE28B3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lastRenderedPageBreak/>
              <w:t>Serum cortisol 3 to 6 months postoperatively (nmol/L)^°</w:t>
            </w:r>
          </w:p>
        </w:tc>
        <w:tc>
          <w:tcPr>
            <w:tcW w:w="708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230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10-230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60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10-220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150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60-600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120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40-240</w:t>
            </w:r>
          </w:p>
        </w:tc>
      </w:tr>
      <w:tr w:rsidR="00EE28B3" w:rsidRPr="00EE28B3" w:rsidTr="00500E92">
        <w:trPr>
          <w:trHeight w:val="496"/>
        </w:trPr>
        <w:tc>
          <w:tcPr>
            <w:tcW w:w="2684" w:type="dxa"/>
          </w:tcPr>
          <w:p w:rsidR="00EE28B3" w:rsidRPr="00EE28B3" w:rsidRDefault="00EE28B3" w:rsidP="00EE28B3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Restoration of HPA-axis in the first year postoperatively°</w:t>
            </w:r>
          </w:p>
        </w:tc>
        <w:tc>
          <w:tcPr>
            <w:tcW w:w="708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12.5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11.1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0.0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15.7</w:t>
            </w:r>
          </w:p>
        </w:tc>
      </w:tr>
      <w:tr w:rsidR="00EE28B3" w:rsidRPr="00EE28B3" w:rsidTr="00EE28B3">
        <w:trPr>
          <w:trHeight w:val="266"/>
        </w:trPr>
        <w:tc>
          <w:tcPr>
            <w:tcW w:w="2684" w:type="dxa"/>
          </w:tcPr>
          <w:p w:rsidR="00EE28B3" w:rsidRPr="00EE28B3" w:rsidRDefault="00EE28B3" w:rsidP="00EE28B3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Recurrent disease</w:t>
            </w:r>
          </w:p>
        </w:tc>
        <w:tc>
          <w:tcPr>
            <w:tcW w:w="708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18.2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10.3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0.0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9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15.5</w:t>
            </w:r>
          </w:p>
        </w:tc>
      </w:tr>
      <w:tr w:rsidR="00EE28B3" w:rsidRPr="00EE28B3" w:rsidTr="00EE28B3">
        <w:trPr>
          <w:trHeight w:val="342"/>
        </w:trPr>
        <w:tc>
          <w:tcPr>
            <w:tcW w:w="2684" w:type="dxa"/>
          </w:tcPr>
          <w:p w:rsidR="00EE28B3" w:rsidRPr="00EE28B3" w:rsidRDefault="00EE28B3" w:rsidP="00EE28B3">
            <w:pPr>
              <w:pStyle w:val="Listenabsatz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Adjuvant treatment</w:t>
            </w:r>
          </w:p>
        </w:tc>
        <w:tc>
          <w:tcPr>
            <w:tcW w:w="708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27.3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17.2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25.0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13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22.4</w:t>
            </w:r>
          </w:p>
        </w:tc>
      </w:tr>
      <w:tr w:rsidR="00EE28B3" w:rsidRPr="00EE28B3" w:rsidTr="00EE28B3">
        <w:trPr>
          <w:trHeight w:val="262"/>
        </w:trPr>
        <w:tc>
          <w:tcPr>
            <w:tcW w:w="2684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Complications</w:t>
            </w:r>
          </w:p>
        </w:tc>
        <w:tc>
          <w:tcPr>
            <w:tcW w:w="708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EE28B3" w:rsidRPr="00EE28B3" w:rsidTr="00EE28B3">
        <w:trPr>
          <w:trHeight w:val="211"/>
        </w:trPr>
        <w:tc>
          <w:tcPr>
            <w:tcW w:w="2684" w:type="dxa"/>
          </w:tcPr>
          <w:p w:rsidR="00EE28B3" w:rsidRPr="00EE28B3" w:rsidRDefault="00EE28B3" w:rsidP="00500E9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 xml:space="preserve"> Diabetes insipidus°</w:t>
            </w: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vertAlign w:val="superscript"/>
                <w:lang w:val="en-US" w:eastAsia="nl-NL"/>
              </w:rPr>
              <w:t>+</w:t>
            </w:r>
          </w:p>
        </w:tc>
        <w:tc>
          <w:tcPr>
            <w:tcW w:w="708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33.3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33.3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50.0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10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21.7</w:t>
            </w:r>
          </w:p>
        </w:tc>
      </w:tr>
      <w:tr w:rsidR="00EE28B3" w:rsidRPr="00EE28B3" w:rsidTr="00500E92">
        <w:trPr>
          <w:trHeight w:val="496"/>
        </w:trPr>
        <w:tc>
          <w:tcPr>
            <w:tcW w:w="2684" w:type="dxa"/>
            <w:shd w:val="clear" w:color="auto" w:fill="auto"/>
          </w:tcPr>
          <w:p w:rsidR="00EE28B3" w:rsidRPr="00EE28B3" w:rsidRDefault="00EE28B3" w:rsidP="00500E9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Anterior pituitary deficiency</w:t>
            </w: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vertAlign w:val="superscript"/>
                <w:lang w:val="en-US" w:eastAsia="nl-NL"/>
              </w:rPr>
              <w:t>+</w:t>
            </w:r>
          </w:p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ind w:left="72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- one axis</w:t>
            </w: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br/>
              <w:t>- two axes</w:t>
            </w:r>
            <w:r w:rsidRPr="00EE28B3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br/>
              <w:t>- three axes</w:t>
            </w:r>
          </w:p>
        </w:tc>
        <w:tc>
          <w:tcPr>
            <w:tcW w:w="708" w:type="dxa"/>
            <w:shd w:val="clear" w:color="auto" w:fill="auto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</w:t>
            </w:r>
          </w:p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</w:t>
            </w: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0</w:t>
            </w: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1</w:t>
            </w:r>
          </w:p>
        </w:tc>
        <w:tc>
          <w:tcPr>
            <w:tcW w:w="851" w:type="dxa"/>
            <w:shd w:val="clear" w:color="auto" w:fill="auto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33.3</w:t>
            </w:r>
          </w:p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16.7</w:t>
            </w: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0.0</w:t>
            </w: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16.7</w:t>
            </w:r>
          </w:p>
        </w:tc>
        <w:tc>
          <w:tcPr>
            <w:tcW w:w="567" w:type="dxa"/>
            <w:shd w:val="clear" w:color="auto" w:fill="auto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</w:t>
            </w:r>
          </w:p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</w:t>
            </w: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1</w:t>
            </w: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1</w:t>
            </w:r>
          </w:p>
        </w:tc>
        <w:tc>
          <w:tcPr>
            <w:tcW w:w="850" w:type="dxa"/>
            <w:shd w:val="clear" w:color="auto" w:fill="auto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31.3</w:t>
            </w:r>
          </w:p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18.7</w:t>
            </w: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6.3</w:t>
            </w: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6.3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</w:t>
            </w:r>
          </w:p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</w:t>
            </w: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2</w:t>
            </w: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0</w:t>
            </w:r>
          </w:p>
        </w:tc>
        <w:tc>
          <w:tcPr>
            <w:tcW w:w="851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66.7</w:t>
            </w:r>
          </w:p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33.3</w:t>
            </w: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33.3</w:t>
            </w: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0.0</w:t>
            </w:r>
          </w:p>
        </w:tc>
        <w:tc>
          <w:tcPr>
            <w:tcW w:w="567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10</w:t>
            </w:r>
          </w:p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</w:t>
            </w: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1</w:t>
            </w: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1</w:t>
            </w:r>
          </w:p>
        </w:tc>
        <w:tc>
          <w:tcPr>
            <w:tcW w:w="850" w:type="dxa"/>
          </w:tcPr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21.2</w:t>
            </w:r>
          </w:p>
          <w:p w:rsidR="00EE28B3" w:rsidRPr="00EE28B3" w:rsidRDefault="00EE28B3" w:rsidP="00500E9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17.0</w:t>
            </w: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2.1</w:t>
            </w:r>
            <w:r w:rsidRPr="00EE28B3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2.1</w:t>
            </w:r>
          </w:p>
        </w:tc>
      </w:tr>
    </w:tbl>
    <w:p w:rsidR="00EE28B3" w:rsidRPr="00EE28B3" w:rsidRDefault="00EE28B3" w:rsidP="00EE28B3">
      <w:pPr>
        <w:rPr>
          <w:rFonts w:ascii="Trebuchet MS" w:hAnsi="Trebuchet MS" w:cs="Times New Roman"/>
          <w:sz w:val="16"/>
          <w:szCs w:val="16"/>
          <w:lang w:val="en-US"/>
        </w:rPr>
      </w:pPr>
      <w:r w:rsidRPr="00EE28B3">
        <w:rPr>
          <w:rFonts w:ascii="Trebuchet MS" w:hAnsi="Trebuchet MS" w:cs="Times New Roman"/>
          <w:sz w:val="16"/>
          <w:szCs w:val="16"/>
          <w:lang w:val="en-US"/>
        </w:rPr>
        <w:t>HPA-axis=hypothalamus-pituitary-adrenal axis</w:t>
      </w:r>
      <w:r w:rsidRPr="00EE28B3">
        <w:rPr>
          <w:rFonts w:ascii="Trebuchet MS" w:hAnsi="Trebuchet MS" w:cs="Times New Roman"/>
          <w:sz w:val="16"/>
          <w:szCs w:val="16"/>
          <w:vertAlign w:val="superscript"/>
          <w:lang w:val="en-US"/>
        </w:rPr>
        <w:br/>
        <w:t>#</w:t>
      </w:r>
      <w:r w:rsidRPr="00EE28B3">
        <w:rPr>
          <w:rFonts w:ascii="Trebuchet MS" w:hAnsi="Trebuchet MS" w:cs="Times New Roman"/>
          <w:sz w:val="16"/>
          <w:szCs w:val="16"/>
          <w:lang w:val="en-US"/>
        </w:rPr>
        <w:t xml:space="preserve">mean + range, ^median + IQR, °data were missing for ≥5% of patients, </w:t>
      </w:r>
      <w:r w:rsidRPr="00EE28B3">
        <w:rPr>
          <w:rFonts w:ascii="Trebuchet MS" w:hAnsi="Trebuchet MS" w:cs="Times New Roman"/>
          <w:sz w:val="16"/>
          <w:szCs w:val="16"/>
          <w:vertAlign w:val="superscript"/>
          <w:lang w:val="en-US"/>
        </w:rPr>
        <w:t>+</w:t>
      </w:r>
      <w:r w:rsidRPr="00EE28B3">
        <w:rPr>
          <w:rFonts w:ascii="Trebuchet MS" w:hAnsi="Trebuchet MS" w:cs="Times New Roman"/>
          <w:sz w:val="16"/>
          <w:szCs w:val="16"/>
          <w:lang w:val="en-US"/>
        </w:rPr>
        <w:t>only for patients with transsphenoidal surgery</w:t>
      </w:r>
      <w:r w:rsidRPr="00EE28B3">
        <w:rPr>
          <w:rFonts w:ascii="Trebuchet MS" w:hAnsi="Trebuchet MS" w:cs="Times New Roman"/>
          <w:sz w:val="16"/>
          <w:szCs w:val="16"/>
          <w:vertAlign w:val="superscript"/>
          <w:lang w:val="en-US"/>
        </w:rPr>
        <w:br/>
      </w:r>
    </w:p>
    <w:p w:rsidR="00E54D02" w:rsidRPr="00D05B41" w:rsidRDefault="00E54D02" w:rsidP="00E54D02">
      <w:pPr>
        <w:pStyle w:val="KeinLeerraum"/>
        <w:rPr>
          <w:rFonts w:ascii="Trebuchet MS" w:hAnsi="Trebuchet MS"/>
          <w:sz w:val="16"/>
          <w:szCs w:val="16"/>
          <w:lang w:val="en-US"/>
        </w:rPr>
      </w:pPr>
    </w:p>
    <w:sectPr w:rsidR="00E54D02" w:rsidRPr="00D05B41" w:rsidSect="00921BD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79E"/>
    <w:multiLevelType w:val="hybridMultilevel"/>
    <w:tmpl w:val="08BED46C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31FB6"/>
    <w:multiLevelType w:val="hybridMultilevel"/>
    <w:tmpl w:val="49DE5A30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23816"/>
    <w:multiLevelType w:val="hybridMultilevel"/>
    <w:tmpl w:val="876A8A46"/>
    <w:lvl w:ilvl="0" w:tplc="2CCCDB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520C6"/>
    <w:multiLevelType w:val="hybridMultilevel"/>
    <w:tmpl w:val="9434FEE6"/>
    <w:lvl w:ilvl="0" w:tplc="D48C84F8">
      <w:start w:val="6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B1"/>
    <w:rsid w:val="00013274"/>
    <w:rsid w:val="0009274D"/>
    <w:rsid w:val="000F2828"/>
    <w:rsid w:val="00104C4D"/>
    <w:rsid w:val="001931FB"/>
    <w:rsid w:val="00211100"/>
    <w:rsid w:val="002D5053"/>
    <w:rsid w:val="003B02B1"/>
    <w:rsid w:val="003B3A03"/>
    <w:rsid w:val="003E7355"/>
    <w:rsid w:val="0046786B"/>
    <w:rsid w:val="00491425"/>
    <w:rsid w:val="00612258"/>
    <w:rsid w:val="00674E13"/>
    <w:rsid w:val="006C6DF9"/>
    <w:rsid w:val="006D5CDE"/>
    <w:rsid w:val="0079278B"/>
    <w:rsid w:val="00830934"/>
    <w:rsid w:val="008F5F34"/>
    <w:rsid w:val="00921BD8"/>
    <w:rsid w:val="00952CAA"/>
    <w:rsid w:val="009533EB"/>
    <w:rsid w:val="009762D8"/>
    <w:rsid w:val="0099701A"/>
    <w:rsid w:val="009A2F59"/>
    <w:rsid w:val="00A31531"/>
    <w:rsid w:val="00A432B8"/>
    <w:rsid w:val="00A6362C"/>
    <w:rsid w:val="00AE409B"/>
    <w:rsid w:val="00B44057"/>
    <w:rsid w:val="00B5743D"/>
    <w:rsid w:val="00B706F9"/>
    <w:rsid w:val="00B93794"/>
    <w:rsid w:val="00BA4C2B"/>
    <w:rsid w:val="00BE4D54"/>
    <w:rsid w:val="00C13EAE"/>
    <w:rsid w:val="00D05B41"/>
    <w:rsid w:val="00D631C3"/>
    <w:rsid w:val="00E54D02"/>
    <w:rsid w:val="00EC0001"/>
    <w:rsid w:val="00EE28B3"/>
    <w:rsid w:val="00F4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524CB3-29ED-442F-9C98-635A8FE8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rsid w:val="00F469D3"/>
    <w:rPr>
      <w:rFonts w:ascii="Calibri" w:eastAsia="Calibri" w:hAnsi="Calibri" w:cs="Times New Roman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F469D3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1C3"/>
    <w:rPr>
      <w:rFonts w:ascii="Tahoma" w:eastAsia="Calibri" w:hAnsi="Tahoma" w:cs="Tahoma"/>
      <w:sz w:val="16"/>
      <w:szCs w:val="1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1C3"/>
    <w:pPr>
      <w:spacing w:after="0" w:line="240" w:lineRule="auto"/>
    </w:pPr>
    <w:rPr>
      <w:rFonts w:ascii="Tahoma" w:eastAsia="Calibri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A432B8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rsid w:val="00A432B8"/>
    <w:rPr>
      <w:color w:val="0000FF"/>
      <w:u w:val="single"/>
    </w:rPr>
  </w:style>
  <w:style w:type="paragraph" w:customStyle="1" w:styleId="Default">
    <w:name w:val="Default"/>
    <w:rsid w:val="00952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ett">
    <w:name w:val="Strong"/>
    <w:uiPriority w:val="22"/>
    <w:qFormat/>
    <w:rsid w:val="006C6DF9"/>
    <w:rPr>
      <w:b/>
      <w:bCs/>
    </w:rPr>
  </w:style>
  <w:style w:type="table" w:customStyle="1" w:styleId="MediumShading1-Accent11">
    <w:name w:val="Medium Shading 1 - Accent 11"/>
    <w:basedOn w:val="NormaleTabelle"/>
    <w:next w:val="MittlereSchattierung1-Akzent1"/>
    <w:uiPriority w:val="63"/>
    <w:rsid w:val="00A3153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A31531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A3153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3153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153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153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153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15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Broersen, Leonarda</dc:creator>
  <cp:keywords/>
  <dc:description/>
  <cp:lastModifiedBy>Broersen, Leonarda</cp:lastModifiedBy>
  <cp:revision>3</cp:revision>
  <dcterms:created xsi:type="dcterms:W3CDTF">2019-03-27T09:27:00Z</dcterms:created>
  <dcterms:modified xsi:type="dcterms:W3CDTF">2019-03-27T09:47:00Z</dcterms:modified>
</cp:coreProperties>
</file>