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F34" w:rsidRPr="00921BD8" w:rsidRDefault="008F5F34" w:rsidP="008F5F34">
      <w:pPr>
        <w:rPr>
          <w:rFonts w:ascii="Trebuchet MS" w:hAnsi="Trebuchet MS"/>
          <w:b/>
          <w:sz w:val="32"/>
          <w:szCs w:val="32"/>
          <w:lang w:val="en-US"/>
        </w:rPr>
      </w:pPr>
      <w:r w:rsidRPr="00921BD8">
        <w:rPr>
          <w:rFonts w:ascii="Trebuchet MS" w:hAnsi="Trebuchet MS"/>
          <w:b/>
          <w:sz w:val="32"/>
          <w:szCs w:val="32"/>
          <w:lang w:val="en-US"/>
        </w:rPr>
        <w:t xml:space="preserve">Chapter </w:t>
      </w:r>
      <w:r>
        <w:rPr>
          <w:rFonts w:ascii="Trebuchet MS" w:hAnsi="Trebuchet MS"/>
          <w:b/>
          <w:sz w:val="32"/>
          <w:szCs w:val="32"/>
          <w:lang w:val="en-US"/>
        </w:rPr>
        <w:t>5</w:t>
      </w:r>
    </w:p>
    <w:p w:rsidR="008F5F34" w:rsidRDefault="008F5F34" w:rsidP="008F5F34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5</w:t>
      </w:r>
      <w:r w:rsidRPr="00921BD8">
        <w:rPr>
          <w:rFonts w:ascii="Trebuchet MS" w:hAnsi="Trebuchet MS"/>
          <w:b/>
          <w:lang w:val="en-US"/>
        </w:rPr>
        <w:t xml:space="preserve">: </w:t>
      </w:r>
      <w:r>
        <w:rPr>
          <w:rFonts w:ascii="Trebuchet MS" w:hAnsi="Trebuchet MS"/>
          <w:b/>
          <w:lang w:val="en-US"/>
        </w:rPr>
        <w:t>R</w:t>
      </w:r>
      <w:r w:rsidRPr="008F5F34">
        <w:rPr>
          <w:rFonts w:ascii="Trebuchet MS" w:hAnsi="Trebuchet MS"/>
          <w:b/>
          <w:lang w:val="en-US"/>
        </w:rPr>
        <w:t>esults of meta-analyses comparing microscopic and endoscopic</w:t>
      </w:r>
      <w:r>
        <w:rPr>
          <w:rFonts w:ascii="Trebuchet MS" w:hAnsi="Trebuchet MS"/>
          <w:b/>
          <w:lang w:val="en-US"/>
        </w:rPr>
        <w:t xml:space="preserve"> surgery – sensitivity analyses</w:t>
      </w:r>
    </w:p>
    <w:tbl>
      <w:tblPr>
        <w:tblStyle w:val="MediumShading1-Accent11"/>
        <w:tblW w:w="14000" w:type="dxa"/>
        <w:tblLayout w:type="fixed"/>
        <w:tblLook w:val="0600" w:firstRow="0" w:lastRow="0" w:firstColumn="0" w:lastColumn="0" w:noHBand="1" w:noVBand="1"/>
      </w:tblPr>
      <w:tblGrid>
        <w:gridCol w:w="266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8F5F34" w:rsidRPr="00966225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rPr>
                <w:rFonts w:ascii="Trebuchet MS" w:eastAsia="MS Mincho" w:hAnsi="Trebuchet MS" w:cs="Times New Roman"/>
                <w:b/>
                <w:i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Excluding inadequate selection of patients and &gt;5% loss to follow-up</w:t>
            </w: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Only including study period starting from ≥2000</w:t>
            </w: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Only including studies with specific criteria for diagnosis of Cushing’s disease</w:t>
            </w: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Only including studies with low dose dexamethasone test for remission</w:t>
            </w: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Only including studies testing remission three to six months postoperatively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rPr>
                <w:rFonts w:ascii="Trebuchet MS" w:eastAsia="MS Mincho" w:hAnsi="Trebuchet MS" w:cs="Times New Roman"/>
                <w:b/>
                <w:i/>
                <w:sz w:val="16"/>
                <w:szCs w:val="16"/>
                <w:lang w:val="en-US" w:eastAsia="nl-NL"/>
              </w:rPr>
            </w:pP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eastAsia="nl-NL"/>
              </w:rPr>
              <w:t>M</w:t>
            </w: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eastAsia="nl-NL"/>
              </w:rPr>
              <w:br/>
              <w:t>% (95% CI); N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E</w:t>
            </w: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br/>
              <w:t>% (95% CI); N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M</w:t>
            </w: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br/>
              <w:t>% (95% CI); N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E</w:t>
            </w: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br/>
              <w:t>% (95% CI); N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M</w:t>
            </w: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br/>
              <w:t>% (95% CI); N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E</w:t>
            </w: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br/>
              <w:t>% (95% CI); N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M</w:t>
            </w: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br/>
              <w:t>% (95% CI); N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E</w:t>
            </w: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br/>
              <w:t>% (95% CI); N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M</w:t>
            </w: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br/>
              <w:t>% (95% CI); N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eastAsia="nl-NL"/>
              </w:rPr>
              <w:t>E</w:t>
            </w:r>
            <w:r w:rsidRPr="008F5F34">
              <w:rPr>
                <w:rFonts w:ascii="Trebuchet MS" w:eastAsia="MS Mincho" w:hAnsi="Trebuchet MS" w:cs="Times New Roman"/>
                <w:b/>
                <w:sz w:val="16"/>
                <w:szCs w:val="16"/>
                <w:lang w:eastAsia="nl-NL"/>
              </w:rPr>
              <w:br/>
              <w:t>% (95% CI); N</w:t>
            </w:r>
          </w:p>
        </w:tc>
      </w:tr>
      <w:tr w:rsidR="008F5F34" w:rsidRPr="00966225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rebuchet MS" w:eastAsia="MS Mincho" w:hAnsi="Trebuchet MS" w:cs="Times New Roman"/>
                <w:b/>
                <w:i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i/>
                <w:sz w:val="16"/>
                <w:szCs w:val="16"/>
                <w:lang w:val="en-US" w:eastAsia="nl-NL"/>
              </w:rPr>
              <w:t>Meta-analysis of surgical outcomes</w:t>
            </w: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Remission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82.0 (78.6-85.2); 39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77.3 (69.8-84.0); 15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74.5 (67.5-81.0); 13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80.2 (73.6-86.1); 15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79.7 (75.8-83.4); 44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77.0 (69.2-84.0); 14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78.0 (73.8-81.9); 23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78.7 (67.5-88.1); 7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76.3 (69.5-82.5); 9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78.7 (64.7-90.1); 6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Hydrocortisone dependency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44.4 (27.0-62.6); 14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15.9 (10.8-21.8);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20.8 (14.6-27.6);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37.2 (17.8-58.9); 14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18.2 (13.5-23.4); 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14.7 (10.2-19.9); 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18.2 (13.5-23.4); 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16.7 (10.7-23.6); 2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Recurrence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9.2 (6.1-12.7); 30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8.8 (5.6-12.5); 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23.0 (14.7-32.5); 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9.0 (5.8-12.7); 7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12.4 (9.1-16.0); 37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10.6 (6.8-15.1); 7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12.6 (9.2-16.4); 18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9.9 (5.7-14.9);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12.8 (7.6-18.9); 8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6.5 (2.5-11.9); 3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Short term mortality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0.0 (0.0-0.0); 25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0.0 (0.0-1.2); 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0.0 (0.0-1.7); 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0.4 (0.0-2.2); 6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0.0 (0.0-0.0); 26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0.4 (0.0-2.2); 6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0.1 (0.0-0.6); 13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0.2 (0.0-2.2);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0.3 (0.0-1.1); 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0.5 (0.0-2.8); 2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Remission after repeat surgery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57.3 (44.4-69.8); 15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47.9 (22.0-74.2); 7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67.4 (29.2-96.9); 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48.9 (18.7-79.4); 7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51.6 (36.8-66.3); 22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43.3 (17.2-71.0); 8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47.6 (27.7-67.9); 10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44.2 (9.0-82.4); 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28.9 (20.6-37.9);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65.7 (45.6-83.6); 2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rebuchet MS" w:eastAsia="MS Mincho" w:hAnsi="Trebuchet MS" w:cs="Times New Roman"/>
                <w:b/>
                <w:i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i/>
                <w:sz w:val="16"/>
                <w:szCs w:val="16"/>
                <w:lang w:val="en-US" w:eastAsia="nl-NL"/>
              </w:rPr>
              <w:t>Meta-analysis of complications</w:t>
            </w: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Cerebrospinal fluid leak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5.0 (2.6-8.0); 21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11.3 (5.2-19.0); 7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0.4 (0.0-2.0);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14.1 (5.7-25.0); 9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4.5 (2.0-7.7); 19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13.8 (3.9-27.7); 8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2.0 (0.1-5.8); 6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14.7 (1.6-35.9); 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0.4 (0.0-1.3);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27.1 (20.1-34.7); 3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Meningitis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0.4 (0.0-1.3); 18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0.0 (0.0-0.6);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0.1 (0.0-1.0); 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0.3 (0.0-1.1); 17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1.5 (0.0-4.5);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0.3 (0.0-1.4); 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1.5 (0.0-4.5);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0.6 (0.0-1.5);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2.2 (0.2-5.7); 2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Syndrome of inappropriate antidiuretic hormone secretion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3.5 (1.3-6.6); 6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5.2 (2.9-8.0); 2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4.2 (1.7-7.6); 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3.8 (1.7-6.5);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Anterior pituitary hormone deficiency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12.4 (6.7-19.2); 16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10.3 (3.4-19.8); 7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3.6 (0.0-11.7); 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9.8 (4.7-16.1); 9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8.7 (3.7-15.2); 19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13.6 (7.7-20.6); 8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7.4 (2.3-14.6); 12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11.9 (4.6-21.5); 6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1.4 (0.5-2.7); 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8.0 (4.0-13.0); 4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Thromboembolism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1.4 (0.4-2.7); 11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1.5 (0.3-3.3); 2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1.2 (0.1-3.2); 2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1.5 (0.3-3.3);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0.7 (0.0-2.1); 8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1.4 (0.1-3.9);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0.4 (0.0-1.2); 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1.3 (0.0-4.1); 2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0.5 (0.0-1.5); 2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Bleeding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2.0 (0.7-3.8); 15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3.4 (1.7-5.6); 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2.1 (0.7-4.1); 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2.5 (0.8-4.9); 12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5.2 (2.5-8.6); 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0.7 (0.0-2.3);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6.8 (3.3-11.3);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Transient diabetes insipidus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19.3 (12.5-27.1); 19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11.3 (4.8-19.9); 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12.9 (7.9-18.9); 6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22.8 (14.5-32.2); 20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9.1 (5.7-13.2); 6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19.9 (11.6-29.7); 6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7.7 (4.5-11.6); 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28.4 (21.8-35.4);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11.3 (6.3-17.3); 2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Permanent diabetes insipidus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2.7 (1.0-5.0); 17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4.2 (2.2-6.7); 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4.0 (2.2-6.3); 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3.3 (1.2-6.2); 17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2.3 (0.4-5.2); 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4.3 (2.3-6.8); 7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2.2 (0.2-5.7); 2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3.1 (0.3-7.6); 2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2.2 (0.2-5.7); 2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Psychopathology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0.7 (0.0-3.1);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0.7 (0.0-3.1);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</w:tr>
      <w:tr w:rsidR="008F5F34" w:rsidRPr="00966225" w:rsidTr="008F5F34">
        <w:trPr>
          <w:trHeight w:val="284"/>
        </w:trPr>
        <w:tc>
          <w:tcPr>
            <w:tcW w:w="4928" w:type="dxa"/>
            <w:gridSpan w:val="3"/>
          </w:tcPr>
          <w:p w:rsidR="008F5F34" w:rsidRPr="008F5F34" w:rsidRDefault="008F5F34" w:rsidP="00D05B41">
            <w:pPr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8F5F34">
              <w:rPr>
                <w:rFonts w:ascii="Trebuchet MS" w:eastAsia="MS Mincho" w:hAnsi="Trebuchet MS" w:cs="Times New Roman"/>
                <w:b/>
                <w:i/>
                <w:sz w:val="16"/>
                <w:szCs w:val="16"/>
                <w:lang w:val="en-US" w:eastAsia="nl-NL"/>
              </w:rPr>
              <w:t>Meta-analysis of surgical outcomes according to tumor size</w:t>
            </w: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</w:tcPr>
          <w:p w:rsidR="008F5F34" w:rsidRPr="008F5F34" w:rsidRDefault="008F5F34" w:rsidP="00D05B41">
            <w:pPr>
              <w:rPr>
                <w:rFonts w:ascii="Trebuchet MS" w:hAnsi="Trebuchet MS"/>
                <w:sz w:val="16"/>
                <w:szCs w:val="16"/>
                <w:lang w:val="en-US"/>
              </w:rPr>
            </w:pP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Remission for microadenoma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85.8 (81.3-89.9); 18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83.8 (74.9-91.3); 11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76.0 (62.8-87.3); 6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88.4 (80.5-94.6); 9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84.2 (77.7-89.9); 19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82.4 (74.0-89.7); 12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82.9 (76.2-88.8); 15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85.1 (73.5-94.1); 6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82.6 (76.3-88.1); 6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81.1 (70.5-89.9); 6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Recurrence for microadenoma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5.6 (3.4-8.2); 8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8.0 (4.2-12.9);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8.0 (4.2-12.9);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10.6 (6.3-15.7); 10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6.8 (1.7-14.4); 2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11.8 (7.1-17.4); 8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12.7 (9.5-16.3); 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6.8 (1.7-14.4); 2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Remission for macroadenoma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64.2 (55.4-72.7); 17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76.0 (63.3-87.0); 10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61.6 (50.8-71.9); 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76.9 (59.8-90.8); 8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58.5 (48.0-68.7); 18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77.6 (64.2-89.0); 11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60.6 (49.5-71.3); 15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72.8 (47.4-92.7); 6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66.9 (58.1-75.2); 6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81.9 (59.6-97.3); 6</w:t>
            </w:r>
          </w:p>
        </w:tc>
      </w:tr>
      <w:tr w:rsidR="008F5F34" w:rsidRPr="008F5F34" w:rsidTr="008F5F34">
        <w:trPr>
          <w:trHeight w:val="284"/>
        </w:trPr>
        <w:tc>
          <w:tcPr>
            <w:tcW w:w="2660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Recurrence for macroadenoma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4.6 (0.0-15.1); 8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1.5 (0.0-6.4);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1.5 (0.0-6.4); 3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18.2 (2.9-39.2); 10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0.0 (0.0-4.4); 2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21.7 (5.7-42.4); 8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12.8 (3.1-25.9); 4</w:t>
            </w:r>
          </w:p>
        </w:tc>
        <w:tc>
          <w:tcPr>
            <w:tcW w:w="1134" w:type="dxa"/>
          </w:tcPr>
          <w:p w:rsidR="008F5F34" w:rsidRPr="008F5F34" w:rsidRDefault="008F5F34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0.0 (0.0-4.4); 2</w:t>
            </w:r>
          </w:p>
        </w:tc>
      </w:tr>
    </w:tbl>
    <w:p w:rsidR="008F5F34" w:rsidRPr="008F5F34" w:rsidRDefault="008F5F34" w:rsidP="008F5F34">
      <w:pPr>
        <w:rPr>
          <w:rFonts w:ascii="Trebuchet MS" w:hAnsi="Trebuchet MS"/>
          <w:sz w:val="15"/>
          <w:szCs w:val="15"/>
          <w:lang w:val="en-US"/>
        </w:rPr>
      </w:pPr>
      <w:r w:rsidRPr="008F5F34">
        <w:rPr>
          <w:rFonts w:ascii="Trebuchet MS" w:hAnsi="Trebuchet MS" w:cs="Times New Roman"/>
          <w:sz w:val="15"/>
          <w:szCs w:val="15"/>
          <w:lang w:val="en-US"/>
        </w:rPr>
        <w:t>M = microscopic surgery, E = endoscopic surgery, CI = confidence interval, N = number of studies per analysis</w:t>
      </w:r>
      <w:r w:rsidRPr="008F5F34">
        <w:rPr>
          <w:rFonts w:ascii="Trebuchet MS" w:hAnsi="Trebuchet MS" w:cs="Times New Roman"/>
          <w:sz w:val="15"/>
          <w:szCs w:val="15"/>
          <w:lang w:val="en-US"/>
        </w:rPr>
        <w:br/>
      </w:r>
    </w:p>
    <w:p w:rsidR="008F5F34" w:rsidRDefault="008F5F34">
      <w:pPr>
        <w:rPr>
          <w:rFonts w:ascii="Trebuchet MS" w:eastAsia="Calibri" w:hAnsi="Trebuchet MS" w:cs="Times New Roman"/>
          <w:sz w:val="18"/>
          <w:szCs w:val="18"/>
          <w:lang w:val="en-US"/>
        </w:rPr>
      </w:pPr>
      <w:bookmarkStart w:id="0" w:name="_GoBack"/>
      <w:bookmarkEnd w:id="0"/>
    </w:p>
    <w:sectPr w:rsidR="008F5F34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13274"/>
    <w:rsid w:val="0009274D"/>
    <w:rsid w:val="000F2828"/>
    <w:rsid w:val="00104C4D"/>
    <w:rsid w:val="001931FB"/>
    <w:rsid w:val="00211100"/>
    <w:rsid w:val="002D5053"/>
    <w:rsid w:val="003B02B1"/>
    <w:rsid w:val="003E7355"/>
    <w:rsid w:val="0046786B"/>
    <w:rsid w:val="00491425"/>
    <w:rsid w:val="00612258"/>
    <w:rsid w:val="00674E13"/>
    <w:rsid w:val="006C6DF9"/>
    <w:rsid w:val="008F5F34"/>
    <w:rsid w:val="00921BD8"/>
    <w:rsid w:val="00952CAA"/>
    <w:rsid w:val="009533EB"/>
    <w:rsid w:val="00966225"/>
    <w:rsid w:val="009762D8"/>
    <w:rsid w:val="0099701A"/>
    <w:rsid w:val="009A2F59"/>
    <w:rsid w:val="00A31531"/>
    <w:rsid w:val="00A432B8"/>
    <w:rsid w:val="00A6362C"/>
    <w:rsid w:val="00B44057"/>
    <w:rsid w:val="00B5743D"/>
    <w:rsid w:val="00B706F9"/>
    <w:rsid w:val="00B93794"/>
    <w:rsid w:val="00BA4C2B"/>
    <w:rsid w:val="00BE4D54"/>
    <w:rsid w:val="00D05B41"/>
    <w:rsid w:val="00D631C3"/>
    <w:rsid w:val="00E54D02"/>
    <w:rsid w:val="00EE28B3"/>
    <w:rsid w:val="00F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E437C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2019-03-27T09:25:00Z</dcterms:created>
  <dcterms:modified xsi:type="dcterms:W3CDTF">2019-03-27T09:41:00Z</dcterms:modified>
</cp:coreProperties>
</file>