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1050"/>
        <w:gridCol w:w="2677"/>
        <w:gridCol w:w="2928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zh-CN"/>
              </w:rPr>
              <w:t>Main Variables</w:t>
            </w:r>
          </w:p>
        </w:tc>
        <w:tc>
          <w:tcPr>
            <w:tcW w:w="1050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V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ariable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ymbol</w:t>
            </w:r>
          </w:p>
        </w:tc>
        <w:tc>
          <w:tcPr>
            <w:tcW w:w="2677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V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ariable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N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ame</w:t>
            </w:r>
          </w:p>
        </w:tc>
        <w:tc>
          <w:tcPr>
            <w:tcW w:w="2928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Definitions and Measurements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Explained variable</w:t>
            </w: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GTFP</w:t>
            </w:r>
          </w:p>
        </w:tc>
        <w:tc>
          <w:tcPr>
            <w:tcW w:w="26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Green economy efficiency</w:t>
            </w:r>
          </w:p>
        </w:tc>
        <w:tc>
          <w:tcPr>
            <w:tcW w:w="29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EBM-GML, indicator system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Core explanatory variables</w:t>
            </w: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AI</w:t>
            </w:r>
          </w:p>
        </w:tc>
        <w:tc>
          <w:tcPr>
            <w:tcW w:w="26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Artificial Intelligence</w:t>
            </w:r>
          </w:p>
        </w:tc>
        <w:tc>
          <w:tcPr>
            <w:tcW w:w="29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Entropy weight method, indicator system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Mediating variables</w:t>
            </w:r>
          </w:p>
        </w:tc>
        <w:tc>
          <w:tcPr>
            <w:tcW w:w="1050" w:type="dxa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ECS</w:t>
            </w:r>
          </w:p>
        </w:tc>
        <w:tc>
          <w:tcPr>
            <w:tcW w:w="2677" w:type="dxa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Energy Consumption Structure</w:t>
            </w:r>
          </w:p>
        </w:tc>
        <w:tc>
          <w:tcPr>
            <w:tcW w:w="2928" w:type="dxa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Share of clean energy consumption in total energy consumption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EFF</w:t>
            </w:r>
          </w:p>
        </w:tc>
        <w:tc>
          <w:tcPr>
            <w:tcW w:w="2677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Energy Efficiency</w:t>
            </w:r>
          </w:p>
        </w:tc>
        <w:tc>
          <w:tcPr>
            <w:tcW w:w="2928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Ratio of GDP to total energy consumption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Moderating variables</w:t>
            </w:r>
          </w:p>
        </w:tc>
        <w:tc>
          <w:tcPr>
            <w:tcW w:w="1050" w:type="dxa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ISU</w:t>
            </w:r>
          </w:p>
        </w:tc>
        <w:tc>
          <w:tcPr>
            <w:tcW w:w="2677" w:type="dxa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Industrial Structure Upgrading</w:t>
            </w:r>
          </w:p>
        </w:tc>
        <w:tc>
          <w:tcPr>
            <w:tcW w:w="2928" w:type="dxa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Ratio of tertiary to secondary industry output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TI</w:t>
            </w:r>
          </w:p>
        </w:tc>
        <w:tc>
          <w:tcPr>
            <w:tcW w:w="2677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 xml:space="preserve">Technological Innovation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Level</w:t>
            </w:r>
          </w:p>
        </w:tc>
        <w:tc>
          <w:tcPr>
            <w:tcW w:w="2928" w:type="dxa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Number of domestic patent applications received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restart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Control variable</w:t>
            </w:r>
          </w:p>
        </w:tc>
        <w:tc>
          <w:tcPr>
            <w:tcW w:w="1050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REG</w:t>
            </w:r>
          </w:p>
        </w:tc>
        <w:tc>
          <w:tcPr>
            <w:tcW w:w="2677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Environmental Regulation</w:t>
            </w:r>
          </w:p>
        </w:tc>
        <w:tc>
          <w:tcPr>
            <w:tcW w:w="2928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Ratio of investment in industrial pollution control to industry value-added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URB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Urbanisation Rate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Share of urban population in total population at the end of the year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HC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Human Capital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Average number of students enrolled in higher education per 100,000 population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OPE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International Openness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Import/export trade to GDP ratio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EDU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Education Investment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Education expenditure to GDP ratio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INF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Infrastructure Level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Ratio of road and railway mileage to regional administrative area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FIS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overnment 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F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inancial 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A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utonomy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 the proportion of environmental protection expenditure within local finance's general budget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FDI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F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oreign 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D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irect 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I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nvestment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the ratio of foreign direct investment to GDP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FIN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Regional 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F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inancial 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D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evelopment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the ratio of year-end deposit and loan balances to regional GDP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Instrumental Variable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PAP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Level of technical output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Publication of scientific and technical papers on scientific and technical activities in higher educational institutions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Substitution of variables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AI2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Artificial Intelligence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Combination of entropy weight method and to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p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sis method, indicator system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GTFP2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sz w:val="20"/>
                <w:szCs w:val="20"/>
                <w:vertAlign w:val="baseline"/>
                <w:lang w:val="en-US" w:eastAsia="zh-CN"/>
              </w:rPr>
              <w:t>Green economy efficiency</w:t>
            </w:r>
          </w:p>
        </w:tc>
        <w:tc>
          <w:tcPr>
            <w:tcW w:w="2928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SBM-DD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0"/>
                <w:szCs w:val="20"/>
              </w:rPr>
              <w:t>F-GML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indicator system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0C2207F"/>
    <w:rsid w:val="50C2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2024-05-22T05:52:00Z</dcterms:created>
  <dc:creator>Chris黄小辉</dc:creator>
  <cp:lastModifiedBy>Chris黄小辉</cp:lastModifiedBy>
  <dcterms:modified xsi:type="dcterms:W3CDTF">2024-05-22T06:08:45Z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6FEF63CEDD6648E5929A07768CB4118B_11</vt:lpwstr>
  </property>
</Properties>
</file>