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0CAC" w14:textId="5D56F0C4" w:rsidR="00215C99" w:rsidRPr="004675D3" w:rsidRDefault="00215C99" w:rsidP="002D41D0">
      <w:pPr>
        <w:pStyle w:val="HeadingforTableofContents"/>
        <w:rPr>
          <w:rFonts w:ascii="Arial" w:hAnsi="Arial" w:cs="Arial"/>
        </w:rPr>
      </w:pPr>
      <w:bookmarkStart w:id="0" w:name="_Toc84443078"/>
      <w:r w:rsidRPr="004675D3">
        <w:rPr>
          <w:rFonts w:ascii="Arial" w:hAnsi="Arial" w:cs="Arial"/>
        </w:rPr>
        <w:t xml:space="preserve">Supplementary </w:t>
      </w:r>
      <w:r w:rsidR="002D41D0" w:rsidRPr="004675D3">
        <w:rPr>
          <w:rFonts w:ascii="Arial" w:hAnsi="Arial" w:cs="Arial"/>
        </w:rPr>
        <w:t>material</w:t>
      </w:r>
      <w:bookmarkEnd w:id="0"/>
    </w:p>
    <w:sdt>
      <w:sdtPr>
        <w:rPr>
          <w:rFonts w:ascii="Arial" w:eastAsiaTheme="minorEastAsia" w:hAnsi="Arial" w:cs="Arial"/>
          <w:color w:val="auto"/>
          <w:sz w:val="20"/>
          <w:szCs w:val="22"/>
          <w:lang w:val="en-GB"/>
        </w:rPr>
        <w:id w:val="28543950"/>
        <w:docPartObj>
          <w:docPartGallery w:val="Table of Contents"/>
          <w:docPartUnique/>
        </w:docPartObj>
      </w:sdtPr>
      <w:sdtEndPr>
        <w:rPr>
          <w:b/>
          <w:bCs/>
          <w:noProof/>
        </w:rPr>
      </w:sdtEndPr>
      <w:sdtContent>
        <w:p w14:paraId="5041B091" w14:textId="6BA05496" w:rsidR="009119CF" w:rsidRPr="004675D3" w:rsidRDefault="009119CF">
          <w:pPr>
            <w:pStyle w:val="TOCHeading"/>
            <w:rPr>
              <w:rFonts w:ascii="Arial" w:hAnsi="Arial" w:cs="Arial"/>
              <w:lang w:val="en-GB"/>
            </w:rPr>
          </w:pPr>
          <w:r w:rsidRPr="004675D3">
            <w:rPr>
              <w:rFonts w:ascii="Arial" w:hAnsi="Arial" w:cs="Arial"/>
              <w:lang w:val="en-GB"/>
            </w:rPr>
            <w:t>Contents</w:t>
          </w:r>
        </w:p>
        <w:p w14:paraId="38E28FE8" w14:textId="76642454" w:rsidR="00314B73" w:rsidRDefault="009119CF">
          <w:pPr>
            <w:pStyle w:val="TOC1"/>
            <w:rPr>
              <w:rFonts w:asciiTheme="minorHAnsi" w:eastAsiaTheme="minorEastAsia" w:hAnsiTheme="minorHAnsi"/>
              <w:noProof/>
              <w:sz w:val="22"/>
              <w:lang w:eastAsia="en-GB"/>
            </w:rPr>
          </w:pPr>
          <w:r w:rsidRPr="004675D3">
            <w:rPr>
              <w:rFonts w:cs="Arial"/>
            </w:rPr>
            <w:fldChar w:fldCharType="begin"/>
          </w:r>
          <w:r w:rsidRPr="004675D3">
            <w:rPr>
              <w:rFonts w:cs="Arial"/>
            </w:rPr>
            <w:instrText xml:space="preserve"> TOC \o "1-3" \h \z \u </w:instrText>
          </w:r>
          <w:r w:rsidRPr="004675D3">
            <w:rPr>
              <w:rFonts w:cs="Arial"/>
            </w:rPr>
            <w:fldChar w:fldCharType="separate"/>
          </w:r>
          <w:hyperlink w:anchor="_Toc84443078" w:history="1">
            <w:r w:rsidR="00314B73" w:rsidRPr="00A806B4">
              <w:rPr>
                <w:rStyle w:val="Hyperlink"/>
                <w:rFonts w:cs="Arial"/>
                <w:noProof/>
              </w:rPr>
              <w:t>Supplementary material</w:t>
            </w:r>
            <w:r w:rsidR="00314B73">
              <w:rPr>
                <w:noProof/>
                <w:webHidden/>
              </w:rPr>
              <w:tab/>
            </w:r>
            <w:r w:rsidR="00314B73">
              <w:rPr>
                <w:noProof/>
                <w:webHidden/>
              </w:rPr>
              <w:fldChar w:fldCharType="begin"/>
            </w:r>
            <w:r w:rsidR="00314B73">
              <w:rPr>
                <w:noProof/>
                <w:webHidden/>
              </w:rPr>
              <w:instrText xml:space="preserve"> PAGEREF _Toc84443078 \h </w:instrText>
            </w:r>
            <w:r w:rsidR="00314B73">
              <w:rPr>
                <w:noProof/>
                <w:webHidden/>
              </w:rPr>
            </w:r>
            <w:r w:rsidR="00314B73">
              <w:rPr>
                <w:noProof/>
                <w:webHidden/>
              </w:rPr>
              <w:fldChar w:fldCharType="separate"/>
            </w:r>
            <w:r w:rsidR="00314B73">
              <w:rPr>
                <w:noProof/>
                <w:webHidden/>
              </w:rPr>
              <w:t>1</w:t>
            </w:r>
            <w:r w:rsidR="00314B73">
              <w:rPr>
                <w:noProof/>
                <w:webHidden/>
              </w:rPr>
              <w:fldChar w:fldCharType="end"/>
            </w:r>
          </w:hyperlink>
        </w:p>
        <w:p w14:paraId="66B79444" w14:textId="538EF725" w:rsidR="00314B73" w:rsidRDefault="00314B73">
          <w:pPr>
            <w:pStyle w:val="TOC1"/>
            <w:rPr>
              <w:rFonts w:asciiTheme="minorHAnsi" w:eastAsiaTheme="minorEastAsia" w:hAnsiTheme="minorHAnsi"/>
              <w:noProof/>
              <w:sz w:val="22"/>
              <w:lang w:eastAsia="en-GB"/>
            </w:rPr>
          </w:pPr>
          <w:hyperlink w:anchor="_Toc84443079" w:history="1">
            <w:r w:rsidRPr="00A806B4">
              <w:rPr>
                <w:rStyle w:val="Hyperlink"/>
                <w:rFonts w:cs="Arial"/>
                <w:noProof/>
              </w:rPr>
              <w:t>S1 Data sources</w:t>
            </w:r>
            <w:r>
              <w:rPr>
                <w:noProof/>
                <w:webHidden/>
              </w:rPr>
              <w:tab/>
            </w:r>
            <w:r>
              <w:rPr>
                <w:noProof/>
                <w:webHidden/>
              </w:rPr>
              <w:fldChar w:fldCharType="begin"/>
            </w:r>
            <w:r>
              <w:rPr>
                <w:noProof/>
                <w:webHidden/>
              </w:rPr>
              <w:instrText xml:space="preserve"> PAGEREF _Toc84443079 \h </w:instrText>
            </w:r>
            <w:r>
              <w:rPr>
                <w:noProof/>
                <w:webHidden/>
              </w:rPr>
            </w:r>
            <w:r>
              <w:rPr>
                <w:noProof/>
                <w:webHidden/>
              </w:rPr>
              <w:fldChar w:fldCharType="separate"/>
            </w:r>
            <w:r>
              <w:rPr>
                <w:noProof/>
                <w:webHidden/>
              </w:rPr>
              <w:t>2</w:t>
            </w:r>
            <w:r>
              <w:rPr>
                <w:noProof/>
                <w:webHidden/>
              </w:rPr>
              <w:fldChar w:fldCharType="end"/>
            </w:r>
          </w:hyperlink>
        </w:p>
        <w:p w14:paraId="2BBFDE81" w14:textId="66EB9282" w:rsidR="00314B73" w:rsidRDefault="00314B73">
          <w:pPr>
            <w:pStyle w:val="TOC1"/>
            <w:rPr>
              <w:rFonts w:asciiTheme="minorHAnsi" w:eastAsiaTheme="minorEastAsia" w:hAnsiTheme="minorHAnsi"/>
              <w:noProof/>
              <w:sz w:val="22"/>
              <w:lang w:eastAsia="en-GB"/>
            </w:rPr>
          </w:pPr>
          <w:hyperlink w:anchor="_Toc84443080" w:history="1">
            <w:r w:rsidRPr="00A806B4">
              <w:rPr>
                <w:rStyle w:val="Hyperlink"/>
                <w:rFonts w:cs="Arial"/>
                <w:noProof/>
              </w:rPr>
              <w:t>S2 Policy matrix definition and policy categorisation</w:t>
            </w:r>
            <w:r>
              <w:rPr>
                <w:noProof/>
                <w:webHidden/>
              </w:rPr>
              <w:tab/>
            </w:r>
            <w:r>
              <w:rPr>
                <w:noProof/>
                <w:webHidden/>
              </w:rPr>
              <w:fldChar w:fldCharType="begin"/>
            </w:r>
            <w:r>
              <w:rPr>
                <w:noProof/>
                <w:webHidden/>
              </w:rPr>
              <w:instrText xml:space="preserve"> PAGEREF _Toc84443080 \h </w:instrText>
            </w:r>
            <w:r>
              <w:rPr>
                <w:noProof/>
                <w:webHidden/>
              </w:rPr>
            </w:r>
            <w:r>
              <w:rPr>
                <w:noProof/>
                <w:webHidden/>
              </w:rPr>
              <w:fldChar w:fldCharType="separate"/>
            </w:r>
            <w:r>
              <w:rPr>
                <w:noProof/>
                <w:webHidden/>
              </w:rPr>
              <w:t>3</w:t>
            </w:r>
            <w:r>
              <w:rPr>
                <w:noProof/>
                <w:webHidden/>
              </w:rPr>
              <w:fldChar w:fldCharType="end"/>
            </w:r>
          </w:hyperlink>
        </w:p>
        <w:p w14:paraId="7AC7C09E" w14:textId="213B5ECA" w:rsidR="00314B73" w:rsidRDefault="00314B73">
          <w:pPr>
            <w:pStyle w:val="TOC1"/>
            <w:rPr>
              <w:rFonts w:asciiTheme="minorHAnsi" w:eastAsiaTheme="minorEastAsia" w:hAnsiTheme="minorHAnsi"/>
              <w:noProof/>
              <w:sz w:val="22"/>
              <w:lang w:eastAsia="en-GB"/>
            </w:rPr>
          </w:pPr>
          <w:hyperlink w:anchor="_Toc84443081" w:history="1">
            <w:r w:rsidRPr="00A806B4">
              <w:rPr>
                <w:rStyle w:val="Hyperlink"/>
                <w:rFonts w:cs="Arial"/>
                <w:noProof/>
              </w:rPr>
              <w:t>S3 Distribution of policy instruments</w:t>
            </w:r>
            <w:r>
              <w:rPr>
                <w:noProof/>
                <w:webHidden/>
              </w:rPr>
              <w:tab/>
            </w:r>
            <w:r>
              <w:rPr>
                <w:noProof/>
                <w:webHidden/>
              </w:rPr>
              <w:fldChar w:fldCharType="begin"/>
            </w:r>
            <w:r>
              <w:rPr>
                <w:noProof/>
                <w:webHidden/>
              </w:rPr>
              <w:instrText xml:space="preserve"> PAGEREF _Toc84443081 \h </w:instrText>
            </w:r>
            <w:r>
              <w:rPr>
                <w:noProof/>
                <w:webHidden/>
              </w:rPr>
            </w:r>
            <w:r>
              <w:rPr>
                <w:noProof/>
                <w:webHidden/>
              </w:rPr>
              <w:fldChar w:fldCharType="separate"/>
            </w:r>
            <w:r>
              <w:rPr>
                <w:noProof/>
                <w:webHidden/>
              </w:rPr>
              <w:t>13</w:t>
            </w:r>
            <w:r>
              <w:rPr>
                <w:noProof/>
                <w:webHidden/>
              </w:rPr>
              <w:fldChar w:fldCharType="end"/>
            </w:r>
          </w:hyperlink>
        </w:p>
        <w:p w14:paraId="5C3571B8" w14:textId="0E6083F3" w:rsidR="00314B73" w:rsidRDefault="00314B73">
          <w:pPr>
            <w:pStyle w:val="TOC1"/>
            <w:rPr>
              <w:rFonts w:asciiTheme="minorHAnsi" w:eastAsiaTheme="minorEastAsia" w:hAnsiTheme="minorHAnsi"/>
              <w:noProof/>
              <w:sz w:val="22"/>
              <w:lang w:eastAsia="en-GB"/>
            </w:rPr>
          </w:pPr>
          <w:hyperlink w:anchor="_Toc84443082" w:history="1">
            <w:r w:rsidRPr="00A806B4">
              <w:rPr>
                <w:rStyle w:val="Hyperlink"/>
                <w:rFonts w:cs="Arial"/>
                <w:noProof/>
              </w:rPr>
              <w:t>S4 Cluster description</w:t>
            </w:r>
            <w:r>
              <w:rPr>
                <w:noProof/>
                <w:webHidden/>
              </w:rPr>
              <w:tab/>
            </w:r>
            <w:r>
              <w:rPr>
                <w:noProof/>
                <w:webHidden/>
              </w:rPr>
              <w:fldChar w:fldCharType="begin"/>
            </w:r>
            <w:r>
              <w:rPr>
                <w:noProof/>
                <w:webHidden/>
              </w:rPr>
              <w:instrText xml:space="preserve"> PAGEREF _Toc84443082 \h </w:instrText>
            </w:r>
            <w:r>
              <w:rPr>
                <w:noProof/>
                <w:webHidden/>
              </w:rPr>
            </w:r>
            <w:r>
              <w:rPr>
                <w:noProof/>
                <w:webHidden/>
              </w:rPr>
              <w:fldChar w:fldCharType="separate"/>
            </w:r>
            <w:r>
              <w:rPr>
                <w:noProof/>
                <w:webHidden/>
              </w:rPr>
              <w:t>14</w:t>
            </w:r>
            <w:r>
              <w:rPr>
                <w:noProof/>
                <w:webHidden/>
              </w:rPr>
              <w:fldChar w:fldCharType="end"/>
            </w:r>
          </w:hyperlink>
        </w:p>
        <w:p w14:paraId="095897A8" w14:textId="484E5B4A" w:rsidR="00314B73" w:rsidRDefault="00314B73">
          <w:pPr>
            <w:pStyle w:val="TOC1"/>
            <w:rPr>
              <w:rFonts w:asciiTheme="minorHAnsi" w:eastAsiaTheme="minorEastAsia" w:hAnsiTheme="minorHAnsi"/>
              <w:noProof/>
              <w:sz w:val="22"/>
              <w:lang w:eastAsia="en-GB"/>
            </w:rPr>
          </w:pPr>
          <w:hyperlink w:anchor="_Toc84443083" w:history="1">
            <w:r w:rsidRPr="00A806B4">
              <w:rPr>
                <w:rStyle w:val="Hyperlink"/>
                <w:rFonts w:cs="Arial"/>
                <w:noProof/>
              </w:rPr>
              <w:t>References</w:t>
            </w:r>
            <w:r>
              <w:rPr>
                <w:noProof/>
                <w:webHidden/>
              </w:rPr>
              <w:tab/>
            </w:r>
            <w:r>
              <w:rPr>
                <w:noProof/>
                <w:webHidden/>
              </w:rPr>
              <w:fldChar w:fldCharType="begin"/>
            </w:r>
            <w:r>
              <w:rPr>
                <w:noProof/>
                <w:webHidden/>
              </w:rPr>
              <w:instrText xml:space="preserve"> PAGEREF _Toc84443083 \h </w:instrText>
            </w:r>
            <w:r>
              <w:rPr>
                <w:noProof/>
                <w:webHidden/>
              </w:rPr>
            </w:r>
            <w:r>
              <w:rPr>
                <w:noProof/>
                <w:webHidden/>
              </w:rPr>
              <w:fldChar w:fldCharType="separate"/>
            </w:r>
            <w:r>
              <w:rPr>
                <w:noProof/>
                <w:webHidden/>
              </w:rPr>
              <w:t>15</w:t>
            </w:r>
            <w:r>
              <w:rPr>
                <w:noProof/>
                <w:webHidden/>
              </w:rPr>
              <w:fldChar w:fldCharType="end"/>
            </w:r>
          </w:hyperlink>
        </w:p>
        <w:p w14:paraId="1398AAA6" w14:textId="26BECC85" w:rsidR="009119CF" w:rsidRPr="004675D3" w:rsidRDefault="009119CF" w:rsidP="009119CF">
          <w:pPr>
            <w:rPr>
              <w:rFonts w:ascii="Arial" w:hAnsi="Arial" w:cs="Arial"/>
              <w:b/>
              <w:bCs/>
              <w:noProof/>
            </w:rPr>
          </w:pPr>
          <w:r w:rsidRPr="004675D3">
            <w:rPr>
              <w:rFonts w:ascii="Arial" w:hAnsi="Arial" w:cs="Arial"/>
              <w:b/>
              <w:bCs/>
              <w:noProof/>
            </w:rPr>
            <w:fldChar w:fldCharType="end"/>
          </w:r>
        </w:p>
      </w:sdtContent>
    </w:sdt>
    <w:p w14:paraId="0DE90BE7" w14:textId="77777777" w:rsidR="00183572" w:rsidRPr="004675D3" w:rsidRDefault="00D21E9C" w:rsidP="00183572">
      <w:pPr>
        <w:pStyle w:val="TOCHeading"/>
        <w:rPr>
          <w:rFonts w:ascii="Arial" w:hAnsi="Arial" w:cs="Arial"/>
          <w:lang w:val="en-GB"/>
        </w:rPr>
      </w:pPr>
      <w:r w:rsidRPr="004675D3">
        <w:rPr>
          <w:rFonts w:ascii="Arial" w:hAnsi="Arial" w:cs="Arial"/>
          <w:lang w:val="en-GB"/>
        </w:rPr>
        <w:t>List of Tables</w:t>
      </w:r>
    </w:p>
    <w:p w14:paraId="3B0421F9" w14:textId="1383C0E7" w:rsidR="007F3B3C" w:rsidRDefault="00183572">
      <w:pPr>
        <w:pStyle w:val="TableofFigures"/>
        <w:tabs>
          <w:tab w:val="right" w:leader="dot" w:pos="9016"/>
        </w:tabs>
        <w:rPr>
          <w:rFonts w:asciiTheme="minorHAnsi" w:eastAsiaTheme="minorEastAsia" w:hAnsiTheme="minorHAnsi"/>
          <w:noProof/>
          <w:color w:val="auto"/>
          <w:sz w:val="22"/>
          <w:lang w:eastAsia="en-GB"/>
        </w:rPr>
      </w:pPr>
      <w:r w:rsidRPr="004675D3">
        <w:rPr>
          <w:rFonts w:cs="Arial"/>
        </w:rPr>
        <w:fldChar w:fldCharType="begin"/>
      </w:r>
      <w:r w:rsidRPr="004675D3">
        <w:rPr>
          <w:rFonts w:cs="Arial"/>
        </w:rPr>
        <w:instrText xml:space="preserve"> TOC \h \z \c "Table" </w:instrText>
      </w:r>
      <w:r w:rsidRPr="004675D3">
        <w:rPr>
          <w:rFonts w:cs="Arial"/>
        </w:rPr>
        <w:fldChar w:fldCharType="separate"/>
      </w:r>
      <w:hyperlink w:anchor="_Toc76122083" w:history="1">
        <w:r w:rsidR="007F3B3C" w:rsidRPr="0059076C">
          <w:rPr>
            <w:rStyle w:val="Hyperlink"/>
            <w:rFonts w:cs="Arial"/>
            <w:noProof/>
          </w:rPr>
          <w:t>Table 2 Policy options classified under the sector ‘general’</w:t>
        </w:r>
        <w:r w:rsidR="007F3B3C">
          <w:rPr>
            <w:noProof/>
            <w:webHidden/>
          </w:rPr>
          <w:tab/>
        </w:r>
        <w:r w:rsidR="007F3B3C">
          <w:rPr>
            <w:noProof/>
            <w:webHidden/>
          </w:rPr>
          <w:fldChar w:fldCharType="begin"/>
        </w:r>
        <w:r w:rsidR="007F3B3C">
          <w:rPr>
            <w:noProof/>
            <w:webHidden/>
          </w:rPr>
          <w:instrText xml:space="preserve"> PAGEREF _Toc76122083 \h </w:instrText>
        </w:r>
        <w:r w:rsidR="007F3B3C">
          <w:rPr>
            <w:noProof/>
            <w:webHidden/>
          </w:rPr>
        </w:r>
        <w:r w:rsidR="007F3B3C">
          <w:rPr>
            <w:noProof/>
            <w:webHidden/>
          </w:rPr>
          <w:fldChar w:fldCharType="separate"/>
        </w:r>
        <w:r w:rsidR="007F3B3C">
          <w:rPr>
            <w:noProof/>
            <w:webHidden/>
          </w:rPr>
          <w:t>2</w:t>
        </w:r>
        <w:r w:rsidR="007F3B3C">
          <w:rPr>
            <w:noProof/>
            <w:webHidden/>
          </w:rPr>
          <w:fldChar w:fldCharType="end"/>
        </w:r>
      </w:hyperlink>
    </w:p>
    <w:p w14:paraId="28981EAE" w14:textId="5A177E26" w:rsidR="007F3B3C" w:rsidRDefault="003508D7">
      <w:pPr>
        <w:pStyle w:val="TableofFigures"/>
        <w:tabs>
          <w:tab w:val="right" w:leader="dot" w:pos="9016"/>
        </w:tabs>
        <w:rPr>
          <w:rFonts w:asciiTheme="minorHAnsi" w:eastAsiaTheme="minorEastAsia" w:hAnsiTheme="minorHAnsi"/>
          <w:noProof/>
          <w:color w:val="auto"/>
          <w:sz w:val="22"/>
          <w:lang w:eastAsia="en-GB"/>
        </w:rPr>
      </w:pPr>
      <w:hyperlink w:anchor="_Toc76122084" w:history="1">
        <w:r w:rsidR="007F3B3C" w:rsidRPr="0059076C">
          <w:rPr>
            <w:rStyle w:val="Hyperlink"/>
            <w:rFonts w:cs="Arial"/>
            <w:noProof/>
          </w:rPr>
          <w:t>Table 3 Policy options classified under the sector ‘electricity and heat’</w:t>
        </w:r>
        <w:r w:rsidR="007F3B3C">
          <w:rPr>
            <w:noProof/>
            <w:webHidden/>
          </w:rPr>
          <w:tab/>
        </w:r>
        <w:r w:rsidR="007F3B3C">
          <w:rPr>
            <w:noProof/>
            <w:webHidden/>
          </w:rPr>
          <w:fldChar w:fldCharType="begin"/>
        </w:r>
        <w:r w:rsidR="007F3B3C">
          <w:rPr>
            <w:noProof/>
            <w:webHidden/>
          </w:rPr>
          <w:instrText xml:space="preserve"> PAGEREF _Toc76122084 \h </w:instrText>
        </w:r>
        <w:r w:rsidR="007F3B3C">
          <w:rPr>
            <w:noProof/>
            <w:webHidden/>
          </w:rPr>
        </w:r>
        <w:r w:rsidR="007F3B3C">
          <w:rPr>
            <w:noProof/>
            <w:webHidden/>
          </w:rPr>
          <w:fldChar w:fldCharType="separate"/>
        </w:r>
        <w:r w:rsidR="007F3B3C">
          <w:rPr>
            <w:noProof/>
            <w:webHidden/>
          </w:rPr>
          <w:t>3</w:t>
        </w:r>
        <w:r w:rsidR="007F3B3C">
          <w:rPr>
            <w:noProof/>
            <w:webHidden/>
          </w:rPr>
          <w:fldChar w:fldCharType="end"/>
        </w:r>
      </w:hyperlink>
    </w:p>
    <w:p w14:paraId="6EDDCF27" w14:textId="2A60CC4F" w:rsidR="007F3B3C" w:rsidRDefault="003508D7">
      <w:pPr>
        <w:pStyle w:val="TableofFigures"/>
        <w:tabs>
          <w:tab w:val="right" w:leader="dot" w:pos="9016"/>
        </w:tabs>
        <w:rPr>
          <w:rFonts w:asciiTheme="minorHAnsi" w:eastAsiaTheme="minorEastAsia" w:hAnsiTheme="minorHAnsi"/>
          <w:noProof/>
          <w:color w:val="auto"/>
          <w:sz w:val="22"/>
          <w:lang w:eastAsia="en-GB"/>
        </w:rPr>
      </w:pPr>
      <w:hyperlink w:anchor="_Toc76122085" w:history="1">
        <w:r w:rsidR="007F3B3C" w:rsidRPr="0059076C">
          <w:rPr>
            <w:rStyle w:val="Hyperlink"/>
            <w:rFonts w:cs="Arial"/>
            <w:noProof/>
          </w:rPr>
          <w:t>Table 4 Policy options classified under the sector ‘industry’</w:t>
        </w:r>
        <w:r w:rsidR="007F3B3C">
          <w:rPr>
            <w:noProof/>
            <w:webHidden/>
          </w:rPr>
          <w:tab/>
        </w:r>
        <w:r w:rsidR="007F3B3C">
          <w:rPr>
            <w:noProof/>
            <w:webHidden/>
          </w:rPr>
          <w:fldChar w:fldCharType="begin"/>
        </w:r>
        <w:r w:rsidR="007F3B3C">
          <w:rPr>
            <w:noProof/>
            <w:webHidden/>
          </w:rPr>
          <w:instrText xml:space="preserve"> PAGEREF _Toc76122085 \h </w:instrText>
        </w:r>
        <w:r w:rsidR="007F3B3C">
          <w:rPr>
            <w:noProof/>
            <w:webHidden/>
          </w:rPr>
        </w:r>
        <w:r w:rsidR="007F3B3C">
          <w:rPr>
            <w:noProof/>
            <w:webHidden/>
          </w:rPr>
          <w:fldChar w:fldCharType="separate"/>
        </w:r>
        <w:r w:rsidR="007F3B3C">
          <w:rPr>
            <w:noProof/>
            <w:webHidden/>
          </w:rPr>
          <w:t>3</w:t>
        </w:r>
        <w:r w:rsidR="007F3B3C">
          <w:rPr>
            <w:noProof/>
            <w:webHidden/>
          </w:rPr>
          <w:fldChar w:fldCharType="end"/>
        </w:r>
      </w:hyperlink>
    </w:p>
    <w:p w14:paraId="4E60F21E" w14:textId="259466D6" w:rsidR="007F3B3C" w:rsidRDefault="003508D7">
      <w:pPr>
        <w:pStyle w:val="TableofFigures"/>
        <w:tabs>
          <w:tab w:val="right" w:leader="dot" w:pos="9016"/>
        </w:tabs>
        <w:rPr>
          <w:rFonts w:asciiTheme="minorHAnsi" w:eastAsiaTheme="minorEastAsia" w:hAnsiTheme="minorHAnsi"/>
          <w:noProof/>
          <w:color w:val="auto"/>
          <w:sz w:val="22"/>
          <w:lang w:eastAsia="en-GB"/>
        </w:rPr>
      </w:pPr>
      <w:hyperlink w:anchor="_Toc76122086" w:history="1">
        <w:r w:rsidR="007F3B3C" w:rsidRPr="0059076C">
          <w:rPr>
            <w:rStyle w:val="Hyperlink"/>
            <w:rFonts w:cs="Arial"/>
            <w:noProof/>
          </w:rPr>
          <w:t>Table 5 Policy options classified under the sector ‘buildings’</w:t>
        </w:r>
        <w:r w:rsidR="007F3B3C">
          <w:rPr>
            <w:noProof/>
            <w:webHidden/>
          </w:rPr>
          <w:tab/>
        </w:r>
        <w:r w:rsidR="007F3B3C">
          <w:rPr>
            <w:noProof/>
            <w:webHidden/>
          </w:rPr>
          <w:fldChar w:fldCharType="begin"/>
        </w:r>
        <w:r w:rsidR="007F3B3C">
          <w:rPr>
            <w:noProof/>
            <w:webHidden/>
          </w:rPr>
          <w:instrText xml:space="preserve"> PAGEREF _Toc76122086 \h </w:instrText>
        </w:r>
        <w:r w:rsidR="007F3B3C">
          <w:rPr>
            <w:noProof/>
            <w:webHidden/>
          </w:rPr>
        </w:r>
        <w:r w:rsidR="007F3B3C">
          <w:rPr>
            <w:noProof/>
            <w:webHidden/>
          </w:rPr>
          <w:fldChar w:fldCharType="separate"/>
        </w:r>
        <w:r w:rsidR="007F3B3C">
          <w:rPr>
            <w:noProof/>
            <w:webHidden/>
          </w:rPr>
          <w:t>4</w:t>
        </w:r>
        <w:r w:rsidR="007F3B3C">
          <w:rPr>
            <w:noProof/>
            <w:webHidden/>
          </w:rPr>
          <w:fldChar w:fldCharType="end"/>
        </w:r>
      </w:hyperlink>
    </w:p>
    <w:p w14:paraId="783558EA" w14:textId="0A9D6551" w:rsidR="007F3B3C" w:rsidRDefault="003508D7">
      <w:pPr>
        <w:pStyle w:val="TableofFigures"/>
        <w:tabs>
          <w:tab w:val="right" w:leader="dot" w:pos="9016"/>
        </w:tabs>
        <w:rPr>
          <w:rFonts w:asciiTheme="minorHAnsi" w:eastAsiaTheme="minorEastAsia" w:hAnsiTheme="minorHAnsi"/>
          <w:noProof/>
          <w:color w:val="auto"/>
          <w:sz w:val="22"/>
          <w:lang w:eastAsia="en-GB"/>
        </w:rPr>
      </w:pPr>
      <w:hyperlink w:anchor="_Toc76122087" w:history="1">
        <w:r w:rsidR="007F3B3C" w:rsidRPr="0059076C">
          <w:rPr>
            <w:rStyle w:val="Hyperlink"/>
            <w:rFonts w:cs="Arial"/>
            <w:noProof/>
          </w:rPr>
          <w:t>Table 6 Policy options classified under the sector ‘land transport’</w:t>
        </w:r>
        <w:r w:rsidR="007F3B3C">
          <w:rPr>
            <w:noProof/>
            <w:webHidden/>
          </w:rPr>
          <w:tab/>
        </w:r>
        <w:r w:rsidR="007F3B3C">
          <w:rPr>
            <w:noProof/>
            <w:webHidden/>
          </w:rPr>
          <w:fldChar w:fldCharType="begin"/>
        </w:r>
        <w:r w:rsidR="007F3B3C">
          <w:rPr>
            <w:noProof/>
            <w:webHidden/>
          </w:rPr>
          <w:instrText xml:space="preserve"> PAGEREF _Toc76122087 \h </w:instrText>
        </w:r>
        <w:r w:rsidR="007F3B3C">
          <w:rPr>
            <w:noProof/>
            <w:webHidden/>
          </w:rPr>
        </w:r>
        <w:r w:rsidR="007F3B3C">
          <w:rPr>
            <w:noProof/>
            <w:webHidden/>
          </w:rPr>
          <w:fldChar w:fldCharType="separate"/>
        </w:r>
        <w:r w:rsidR="007F3B3C">
          <w:rPr>
            <w:noProof/>
            <w:webHidden/>
          </w:rPr>
          <w:t>4</w:t>
        </w:r>
        <w:r w:rsidR="007F3B3C">
          <w:rPr>
            <w:noProof/>
            <w:webHidden/>
          </w:rPr>
          <w:fldChar w:fldCharType="end"/>
        </w:r>
      </w:hyperlink>
    </w:p>
    <w:p w14:paraId="31A0F80E" w14:textId="3EF6BA23" w:rsidR="007F3B3C" w:rsidRDefault="003508D7">
      <w:pPr>
        <w:pStyle w:val="TableofFigures"/>
        <w:tabs>
          <w:tab w:val="right" w:leader="dot" w:pos="9016"/>
        </w:tabs>
        <w:rPr>
          <w:rFonts w:asciiTheme="minorHAnsi" w:eastAsiaTheme="minorEastAsia" w:hAnsiTheme="minorHAnsi"/>
          <w:noProof/>
          <w:color w:val="auto"/>
          <w:sz w:val="22"/>
          <w:lang w:eastAsia="en-GB"/>
        </w:rPr>
      </w:pPr>
      <w:hyperlink w:anchor="_Toc76122088" w:history="1">
        <w:r w:rsidR="007F3B3C" w:rsidRPr="0059076C">
          <w:rPr>
            <w:rStyle w:val="Hyperlink"/>
            <w:rFonts w:cs="Arial"/>
            <w:noProof/>
          </w:rPr>
          <w:t>Table 7 Policy options classified under the sector ‘agriculture and forestry’</w:t>
        </w:r>
        <w:r w:rsidR="007F3B3C">
          <w:rPr>
            <w:noProof/>
            <w:webHidden/>
          </w:rPr>
          <w:tab/>
        </w:r>
        <w:r w:rsidR="007F3B3C">
          <w:rPr>
            <w:noProof/>
            <w:webHidden/>
          </w:rPr>
          <w:fldChar w:fldCharType="begin"/>
        </w:r>
        <w:r w:rsidR="007F3B3C">
          <w:rPr>
            <w:noProof/>
            <w:webHidden/>
          </w:rPr>
          <w:instrText xml:space="preserve"> PAGEREF _Toc76122088 \h </w:instrText>
        </w:r>
        <w:r w:rsidR="007F3B3C">
          <w:rPr>
            <w:noProof/>
            <w:webHidden/>
          </w:rPr>
        </w:r>
        <w:r w:rsidR="007F3B3C">
          <w:rPr>
            <w:noProof/>
            <w:webHidden/>
          </w:rPr>
          <w:fldChar w:fldCharType="separate"/>
        </w:r>
        <w:r w:rsidR="007F3B3C">
          <w:rPr>
            <w:noProof/>
            <w:webHidden/>
          </w:rPr>
          <w:t>5</w:t>
        </w:r>
        <w:r w:rsidR="007F3B3C">
          <w:rPr>
            <w:noProof/>
            <w:webHidden/>
          </w:rPr>
          <w:fldChar w:fldCharType="end"/>
        </w:r>
      </w:hyperlink>
    </w:p>
    <w:p w14:paraId="0758EC0F" w14:textId="1F4C33C0" w:rsidR="007F3B3C" w:rsidRDefault="003508D7">
      <w:pPr>
        <w:pStyle w:val="TableofFigures"/>
        <w:tabs>
          <w:tab w:val="right" w:leader="dot" w:pos="9016"/>
        </w:tabs>
        <w:rPr>
          <w:rFonts w:asciiTheme="minorHAnsi" w:eastAsiaTheme="minorEastAsia" w:hAnsiTheme="minorHAnsi"/>
          <w:noProof/>
          <w:color w:val="auto"/>
          <w:sz w:val="22"/>
          <w:lang w:eastAsia="en-GB"/>
        </w:rPr>
      </w:pPr>
      <w:hyperlink w:anchor="_Toc76122089" w:history="1">
        <w:r w:rsidR="007F3B3C" w:rsidRPr="0059076C">
          <w:rPr>
            <w:rStyle w:val="Hyperlink"/>
            <w:rFonts w:cs="Arial"/>
            <w:noProof/>
          </w:rPr>
          <w:t>Table 1 Policy instruments in the database</w:t>
        </w:r>
        <w:r w:rsidR="007F3B3C">
          <w:rPr>
            <w:noProof/>
            <w:webHidden/>
          </w:rPr>
          <w:tab/>
        </w:r>
        <w:r w:rsidR="007F3B3C">
          <w:rPr>
            <w:noProof/>
            <w:webHidden/>
          </w:rPr>
          <w:fldChar w:fldCharType="begin"/>
        </w:r>
        <w:r w:rsidR="007F3B3C">
          <w:rPr>
            <w:noProof/>
            <w:webHidden/>
          </w:rPr>
          <w:instrText xml:space="preserve"> PAGEREF _Toc76122089 \h </w:instrText>
        </w:r>
        <w:r w:rsidR="007F3B3C">
          <w:rPr>
            <w:noProof/>
            <w:webHidden/>
          </w:rPr>
        </w:r>
        <w:r w:rsidR="007F3B3C">
          <w:rPr>
            <w:noProof/>
            <w:webHidden/>
          </w:rPr>
          <w:fldChar w:fldCharType="separate"/>
        </w:r>
        <w:r w:rsidR="007F3B3C">
          <w:rPr>
            <w:noProof/>
            <w:webHidden/>
          </w:rPr>
          <w:t>6</w:t>
        </w:r>
        <w:r w:rsidR="007F3B3C">
          <w:rPr>
            <w:noProof/>
            <w:webHidden/>
          </w:rPr>
          <w:fldChar w:fldCharType="end"/>
        </w:r>
      </w:hyperlink>
    </w:p>
    <w:p w14:paraId="7964AD0C" w14:textId="501909A2" w:rsidR="007F3B3C" w:rsidRDefault="003508D7">
      <w:pPr>
        <w:pStyle w:val="TableofFigures"/>
        <w:tabs>
          <w:tab w:val="right" w:leader="dot" w:pos="9016"/>
        </w:tabs>
        <w:rPr>
          <w:rFonts w:asciiTheme="minorHAnsi" w:eastAsiaTheme="minorEastAsia" w:hAnsiTheme="minorHAnsi"/>
          <w:noProof/>
          <w:color w:val="auto"/>
          <w:sz w:val="22"/>
          <w:lang w:eastAsia="en-GB"/>
        </w:rPr>
      </w:pPr>
      <w:hyperlink w:anchor="_Toc76122090" w:history="1">
        <w:r w:rsidR="007F3B3C" w:rsidRPr="0059076C">
          <w:rPr>
            <w:rStyle w:val="Hyperlink"/>
            <w:rFonts w:cs="Arial"/>
            <w:noProof/>
          </w:rPr>
          <w:t>Table 8 Mapping of policy documents to policy options</w:t>
        </w:r>
        <w:r w:rsidR="007F3B3C">
          <w:rPr>
            <w:noProof/>
            <w:webHidden/>
          </w:rPr>
          <w:tab/>
        </w:r>
        <w:r w:rsidR="007F3B3C">
          <w:rPr>
            <w:noProof/>
            <w:webHidden/>
          </w:rPr>
          <w:fldChar w:fldCharType="begin"/>
        </w:r>
        <w:r w:rsidR="007F3B3C">
          <w:rPr>
            <w:noProof/>
            <w:webHidden/>
          </w:rPr>
          <w:instrText xml:space="preserve"> PAGEREF _Toc76122090 \h </w:instrText>
        </w:r>
        <w:r w:rsidR="007F3B3C">
          <w:rPr>
            <w:noProof/>
            <w:webHidden/>
          </w:rPr>
        </w:r>
        <w:r w:rsidR="007F3B3C">
          <w:rPr>
            <w:noProof/>
            <w:webHidden/>
          </w:rPr>
          <w:fldChar w:fldCharType="separate"/>
        </w:r>
        <w:r w:rsidR="007F3B3C">
          <w:rPr>
            <w:noProof/>
            <w:webHidden/>
          </w:rPr>
          <w:t>8</w:t>
        </w:r>
        <w:r w:rsidR="007F3B3C">
          <w:rPr>
            <w:noProof/>
            <w:webHidden/>
          </w:rPr>
          <w:fldChar w:fldCharType="end"/>
        </w:r>
      </w:hyperlink>
    </w:p>
    <w:p w14:paraId="4641F704" w14:textId="264FAF01" w:rsidR="001751C1" w:rsidRPr="004675D3" w:rsidRDefault="00183572">
      <w:pPr>
        <w:pStyle w:val="TableofFigures"/>
        <w:tabs>
          <w:tab w:val="right" w:leader="dot" w:pos="9016"/>
        </w:tabs>
        <w:rPr>
          <w:rFonts w:cs="Arial"/>
        </w:rPr>
      </w:pPr>
      <w:r w:rsidRPr="004675D3">
        <w:rPr>
          <w:rFonts w:cs="Arial"/>
        </w:rPr>
        <w:fldChar w:fldCharType="end"/>
      </w:r>
    </w:p>
    <w:p w14:paraId="328B2232" w14:textId="1FF914C2" w:rsidR="001751C1" w:rsidRPr="004675D3" w:rsidRDefault="001751C1" w:rsidP="001751C1">
      <w:pPr>
        <w:pStyle w:val="TOCHeading"/>
        <w:rPr>
          <w:rFonts w:ascii="Arial" w:hAnsi="Arial" w:cs="Arial"/>
          <w:lang w:val="en-GB"/>
        </w:rPr>
      </w:pPr>
      <w:r w:rsidRPr="004675D3">
        <w:rPr>
          <w:rFonts w:ascii="Arial" w:hAnsi="Arial" w:cs="Arial"/>
          <w:lang w:val="en-GB"/>
        </w:rPr>
        <w:t>List of Figures</w:t>
      </w:r>
    </w:p>
    <w:p w14:paraId="125B5A21" w14:textId="77777777" w:rsidR="001751C1" w:rsidRPr="004675D3" w:rsidRDefault="001751C1">
      <w:pPr>
        <w:pStyle w:val="TableofFigures"/>
        <w:tabs>
          <w:tab w:val="right" w:leader="dot" w:pos="9016"/>
        </w:tabs>
        <w:rPr>
          <w:rFonts w:cs="Arial"/>
        </w:rPr>
      </w:pPr>
    </w:p>
    <w:p w14:paraId="192A1FF0" w14:textId="313CC751" w:rsidR="003508D7" w:rsidRDefault="001751C1">
      <w:pPr>
        <w:pStyle w:val="TableofFigures"/>
        <w:tabs>
          <w:tab w:val="right" w:leader="dot" w:pos="9016"/>
        </w:tabs>
        <w:rPr>
          <w:rFonts w:asciiTheme="minorHAnsi" w:eastAsiaTheme="minorEastAsia" w:hAnsiTheme="minorHAnsi"/>
          <w:noProof/>
          <w:color w:val="auto"/>
          <w:sz w:val="22"/>
          <w:lang w:eastAsia="en-GB"/>
        </w:rPr>
      </w:pPr>
      <w:r w:rsidRPr="004675D3">
        <w:rPr>
          <w:rFonts w:cs="Arial"/>
        </w:rPr>
        <w:fldChar w:fldCharType="begin"/>
      </w:r>
      <w:r w:rsidRPr="004675D3">
        <w:rPr>
          <w:rFonts w:cs="Arial"/>
        </w:rPr>
        <w:instrText xml:space="preserve"> TOC \h \z \c "Figure" </w:instrText>
      </w:r>
      <w:r w:rsidRPr="004675D3">
        <w:rPr>
          <w:rFonts w:cs="Arial"/>
        </w:rPr>
        <w:fldChar w:fldCharType="separate"/>
      </w:r>
      <w:hyperlink w:anchor="_Toc84446280" w:history="1">
        <w:r w:rsidR="003508D7" w:rsidRPr="00A850B3">
          <w:rPr>
            <w:rStyle w:val="Hyperlink"/>
            <w:rFonts w:cs="Arial"/>
            <w:noProof/>
          </w:rPr>
          <w:t>Figure 1 Structure of the matrix of policy options</w:t>
        </w:r>
        <w:r w:rsidR="003508D7">
          <w:rPr>
            <w:noProof/>
            <w:webHidden/>
          </w:rPr>
          <w:tab/>
        </w:r>
        <w:r w:rsidR="003508D7">
          <w:rPr>
            <w:noProof/>
            <w:webHidden/>
          </w:rPr>
          <w:fldChar w:fldCharType="begin"/>
        </w:r>
        <w:r w:rsidR="003508D7">
          <w:rPr>
            <w:noProof/>
            <w:webHidden/>
          </w:rPr>
          <w:instrText xml:space="preserve"> PAGEREF _Toc84446280 \h </w:instrText>
        </w:r>
        <w:r w:rsidR="003508D7">
          <w:rPr>
            <w:noProof/>
            <w:webHidden/>
          </w:rPr>
        </w:r>
        <w:r w:rsidR="003508D7">
          <w:rPr>
            <w:noProof/>
            <w:webHidden/>
          </w:rPr>
          <w:fldChar w:fldCharType="separate"/>
        </w:r>
        <w:r w:rsidR="003508D7">
          <w:rPr>
            <w:noProof/>
            <w:webHidden/>
          </w:rPr>
          <w:t>3</w:t>
        </w:r>
        <w:r w:rsidR="003508D7">
          <w:rPr>
            <w:noProof/>
            <w:webHidden/>
          </w:rPr>
          <w:fldChar w:fldCharType="end"/>
        </w:r>
      </w:hyperlink>
    </w:p>
    <w:p w14:paraId="00180917" w14:textId="1548057E" w:rsidR="003508D7" w:rsidRDefault="003508D7">
      <w:pPr>
        <w:pStyle w:val="TableofFigures"/>
        <w:tabs>
          <w:tab w:val="right" w:leader="dot" w:pos="9016"/>
        </w:tabs>
        <w:rPr>
          <w:rFonts w:asciiTheme="minorHAnsi" w:eastAsiaTheme="minorEastAsia" w:hAnsiTheme="minorHAnsi"/>
          <w:noProof/>
          <w:color w:val="auto"/>
          <w:sz w:val="22"/>
          <w:lang w:eastAsia="en-GB"/>
        </w:rPr>
      </w:pPr>
      <w:hyperlink w:anchor="_Toc84446281" w:history="1">
        <w:r w:rsidRPr="00A850B3">
          <w:rPr>
            <w:rStyle w:val="Hyperlink"/>
            <w:rFonts w:cs="Arial"/>
            <w:noProof/>
          </w:rPr>
          <w:t>Figure 2 Policy instrument types (identified by colours) in the G20</w:t>
        </w:r>
        <w:r>
          <w:rPr>
            <w:noProof/>
            <w:webHidden/>
          </w:rPr>
          <w:tab/>
        </w:r>
        <w:r>
          <w:rPr>
            <w:noProof/>
            <w:webHidden/>
          </w:rPr>
          <w:fldChar w:fldCharType="begin"/>
        </w:r>
        <w:r>
          <w:rPr>
            <w:noProof/>
            <w:webHidden/>
          </w:rPr>
          <w:instrText xml:space="preserve"> PAGEREF _Toc84446281 \h </w:instrText>
        </w:r>
        <w:r>
          <w:rPr>
            <w:noProof/>
            <w:webHidden/>
          </w:rPr>
        </w:r>
        <w:r>
          <w:rPr>
            <w:noProof/>
            <w:webHidden/>
          </w:rPr>
          <w:fldChar w:fldCharType="separate"/>
        </w:r>
        <w:r>
          <w:rPr>
            <w:noProof/>
            <w:webHidden/>
          </w:rPr>
          <w:t>13</w:t>
        </w:r>
        <w:r>
          <w:rPr>
            <w:noProof/>
            <w:webHidden/>
          </w:rPr>
          <w:fldChar w:fldCharType="end"/>
        </w:r>
      </w:hyperlink>
    </w:p>
    <w:p w14:paraId="35217519" w14:textId="4DEE394C" w:rsidR="003508D7" w:rsidRDefault="003508D7">
      <w:pPr>
        <w:pStyle w:val="TableofFigures"/>
        <w:tabs>
          <w:tab w:val="right" w:leader="dot" w:pos="9016"/>
        </w:tabs>
        <w:rPr>
          <w:rFonts w:asciiTheme="minorHAnsi" w:eastAsiaTheme="minorEastAsia" w:hAnsiTheme="minorHAnsi"/>
          <w:noProof/>
          <w:color w:val="auto"/>
          <w:sz w:val="22"/>
          <w:lang w:eastAsia="en-GB"/>
        </w:rPr>
      </w:pPr>
      <w:hyperlink w:anchor="_Toc84446282" w:history="1">
        <w:r w:rsidRPr="00A850B3">
          <w:rPr>
            <w:rStyle w:val="Hyperlink"/>
            <w:rFonts w:cs="Arial"/>
            <w:noProof/>
          </w:rPr>
          <w:t>Figure 3 Distribution of policy instruments per sector and country</w:t>
        </w:r>
        <w:r>
          <w:rPr>
            <w:noProof/>
            <w:webHidden/>
          </w:rPr>
          <w:tab/>
        </w:r>
        <w:r>
          <w:rPr>
            <w:noProof/>
            <w:webHidden/>
          </w:rPr>
          <w:fldChar w:fldCharType="begin"/>
        </w:r>
        <w:r>
          <w:rPr>
            <w:noProof/>
            <w:webHidden/>
          </w:rPr>
          <w:instrText xml:space="preserve"> PAGEREF _Toc84446282 \h </w:instrText>
        </w:r>
        <w:r>
          <w:rPr>
            <w:noProof/>
            <w:webHidden/>
          </w:rPr>
        </w:r>
        <w:r>
          <w:rPr>
            <w:noProof/>
            <w:webHidden/>
          </w:rPr>
          <w:fldChar w:fldCharType="separate"/>
        </w:r>
        <w:r>
          <w:rPr>
            <w:noProof/>
            <w:webHidden/>
          </w:rPr>
          <w:t>13</w:t>
        </w:r>
        <w:r>
          <w:rPr>
            <w:noProof/>
            <w:webHidden/>
          </w:rPr>
          <w:fldChar w:fldCharType="end"/>
        </w:r>
      </w:hyperlink>
    </w:p>
    <w:p w14:paraId="5F960D55" w14:textId="0A8C8229" w:rsidR="003508D7" w:rsidRDefault="003508D7">
      <w:pPr>
        <w:pStyle w:val="TableofFigures"/>
        <w:tabs>
          <w:tab w:val="right" w:leader="dot" w:pos="9016"/>
        </w:tabs>
        <w:rPr>
          <w:rFonts w:asciiTheme="minorHAnsi" w:eastAsiaTheme="minorEastAsia" w:hAnsiTheme="minorHAnsi"/>
          <w:noProof/>
          <w:color w:val="auto"/>
          <w:sz w:val="22"/>
          <w:lang w:eastAsia="en-GB"/>
        </w:rPr>
      </w:pPr>
      <w:hyperlink w:anchor="_Toc84446283" w:history="1">
        <w:r w:rsidRPr="00A850B3">
          <w:rPr>
            <w:rStyle w:val="Hyperlink"/>
            <w:rFonts w:cs="Arial"/>
            <w:noProof/>
          </w:rPr>
          <w:t>Figure 4 Cluster results, each circle represents one policy option</w:t>
        </w:r>
        <w:r>
          <w:rPr>
            <w:noProof/>
            <w:webHidden/>
          </w:rPr>
          <w:tab/>
        </w:r>
        <w:r>
          <w:rPr>
            <w:noProof/>
            <w:webHidden/>
          </w:rPr>
          <w:fldChar w:fldCharType="begin"/>
        </w:r>
        <w:r>
          <w:rPr>
            <w:noProof/>
            <w:webHidden/>
          </w:rPr>
          <w:instrText xml:space="preserve"> PAGEREF _Toc84446283 \h </w:instrText>
        </w:r>
        <w:r>
          <w:rPr>
            <w:noProof/>
            <w:webHidden/>
          </w:rPr>
        </w:r>
        <w:r>
          <w:rPr>
            <w:noProof/>
            <w:webHidden/>
          </w:rPr>
          <w:fldChar w:fldCharType="separate"/>
        </w:r>
        <w:r>
          <w:rPr>
            <w:noProof/>
            <w:webHidden/>
          </w:rPr>
          <w:t>14</w:t>
        </w:r>
        <w:r>
          <w:rPr>
            <w:noProof/>
            <w:webHidden/>
          </w:rPr>
          <w:fldChar w:fldCharType="end"/>
        </w:r>
      </w:hyperlink>
    </w:p>
    <w:p w14:paraId="1FCD11B0" w14:textId="1A8A67C6" w:rsidR="009119CF" w:rsidRPr="004675D3" w:rsidRDefault="001751C1" w:rsidP="00183572">
      <w:pPr>
        <w:pStyle w:val="TOCHeading"/>
        <w:rPr>
          <w:rFonts w:ascii="Arial" w:hAnsi="Arial" w:cs="Arial"/>
          <w:lang w:val="en-GB"/>
        </w:rPr>
      </w:pPr>
      <w:r w:rsidRPr="004675D3">
        <w:rPr>
          <w:rFonts w:ascii="Arial" w:hAnsi="Arial" w:cs="Arial"/>
          <w:lang w:val="en-GB"/>
        </w:rPr>
        <w:fldChar w:fldCharType="end"/>
      </w:r>
      <w:r w:rsidR="009119CF" w:rsidRPr="004675D3">
        <w:rPr>
          <w:rFonts w:ascii="Arial" w:hAnsi="Arial" w:cs="Arial"/>
          <w:lang w:val="en-GB"/>
        </w:rPr>
        <w:br w:type="page"/>
      </w:r>
    </w:p>
    <w:p w14:paraId="36B46CFC" w14:textId="3088540A" w:rsidR="008C5F6E" w:rsidRPr="004675D3" w:rsidRDefault="00601256" w:rsidP="008C5F6E">
      <w:pPr>
        <w:pStyle w:val="Heading1"/>
        <w:numPr>
          <w:ilvl w:val="0"/>
          <w:numId w:val="0"/>
        </w:numPr>
        <w:ind w:left="432"/>
        <w:rPr>
          <w:rFonts w:ascii="Arial" w:hAnsi="Arial" w:cs="Arial"/>
        </w:rPr>
      </w:pPr>
      <w:bookmarkStart w:id="1" w:name="_Toc40368226"/>
      <w:bookmarkStart w:id="2" w:name="_Toc84443079"/>
      <w:r w:rsidRPr="004675D3">
        <w:rPr>
          <w:rFonts w:ascii="Arial" w:hAnsi="Arial" w:cs="Arial"/>
        </w:rPr>
        <w:lastRenderedPageBreak/>
        <w:t>S</w:t>
      </w:r>
      <w:r w:rsidR="009370CB" w:rsidRPr="004675D3">
        <w:rPr>
          <w:rFonts w:ascii="Arial" w:hAnsi="Arial" w:cs="Arial"/>
        </w:rPr>
        <w:t>1</w:t>
      </w:r>
      <w:bookmarkEnd w:id="1"/>
      <w:r w:rsidR="008C5F6E" w:rsidRPr="004675D3">
        <w:rPr>
          <w:rFonts w:ascii="Arial" w:hAnsi="Arial" w:cs="Arial"/>
        </w:rPr>
        <w:t xml:space="preserve"> Data sources</w:t>
      </w:r>
      <w:bookmarkEnd w:id="2"/>
    </w:p>
    <w:p w14:paraId="42C5CEE5" w14:textId="77777777" w:rsidR="008C5F6E" w:rsidRPr="004675D3" w:rsidRDefault="008C5F6E" w:rsidP="008C5F6E">
      <w:pPr>
        <w:rPr>
          <w:rFonts w:ascii="Arial" w:hAnsi="Arial" w:cs="Arial"/>
        </w:rPr>
      </w:pPr>
      <w:r w:rsidRPr="004675D3">
        <w:rPr>
          <w:rFonts w:ascii="Arial" w:hAnsi="Arial" w:cs="Arial"/>
        </w:rPr>
        <w:t xml:space="preserve">Overview of data sources. For some policies, the databases were complemented with peer reviewed articles or specific reports. Details on individual policies can be found at climatepolicydatabase.org. </w:t>
      </w:r>
      <w:r w:rsidRPr="004675D3">
        <w:rPr>
          <w:rFonts w:ascii="Arial" w:hAnsi="Arial" w:cs="Arial"/>
          <w:szCs w:val="18"/>
        </w:rPr>
        <w:t xml:space="preserve"> The general structure of the database is one entry per policy. Rollbacks are included by changing the policy status to ‘ended’ or ‘superseded’. </w:t>
      </w:r>
    </w:p>
    <w:tbl>
      <w:tblPr>
        <w:tblStyle w:val="TableGrid"/>
        <w:tblW w:w="0" w:type="auto"/>
        <w:tblLook w:val="04A0" w:firstRow="1" w:lastRow="0" w:firstColumn="1" w:lastColumn="0" w:noHBand="0" w:noVBand="1"/>
      </w:tblPr>
      <w:tblGrid>
        <w:gridCol w:w="3970"/>
        <w:gridCol w:w="2137"/>
        <w:gridCol w:w="1724"/>
        <w:gridCol w:w="1185"/>
      </w:tblGrid>
      <w:tr w:rsidR="008C5F6E" w:rsidRPr="004675D3" w14:paraId="468852C1" w14:textId="77777777" w:rsidTr="00C84AB5">
        <w:trPr>
          <w:trHeight w:val="225"/>
        </w:trPr>
        <w:tc>
          <w:tcPr>
            <w:tcW w:w="3970" w:type="dxa"/>
            <w:shd w:val="clear" w:color="auto" w:fill="A6A6A6" w:themeFill="background1" w:themeFillShade="A6"/>
            <w:vAlign w:val="center"/>
            <w:hideMark/>
          </w:tcPr>
          <w:p w14:paraId="399F0EBE" w14:textId="77777777" w:rsidR="008C5F6E" w:rsidRPr="004675D3" w:rsidRDefault="008C5F6E" w:rsidP="00C84AB5">
            <w:pPr>
              <w:jc w:val="left"/>
              <w:rPr>
                <w:rFonts w:ascii="Arial" w:hAnsi="Arial" w:cs="Arial"/>
                <w:b/>
                <w:bCs/>
                <w:color w:val="FFFFFF" w:themeColor="background1"/>
                <w:sz w:val="16"/>
                <w:szCs w:val="16"/>
              </w:rPr>
            </w:pPr>
            <w:r w:rsidRPr="004675D3">
              <w:rPr>
                <w:rFonts w:ascii="Arial" w:hAnsi="Arial" w:cs="Arial"/>
                <w:b/>
                <w:bCs/>
                <w:color w:val="FFFFFF" w:themeColor="background1"/>
                <w:sz w:val="16"/>
                <w:szCs w:val="16"/>
              </w:rPr>
              <w:t>Name</w:t>
            </w:r>
          </w:p>
        </w:tc>
        <w:tc>
          <w:tcPr>
            <w:tcW w:w="2137" w:type="dxa"/>
            <w:shd w:val="clear" w:color="auto" w:fill="A6A6A6" w:themeFill="background1" w:themeFillShade="A6"/>
            <w:vAlign w:val="center"/>
            <w:hideMark/>
          </w:tcPr>
          <w:p w14:paraId="260569EA" w14:textId="77777777" w:rsidR="008C5F6E" w:rsidRPr="004675D3" w:rsidRDefault="008C5F6E" w:rsidP="00C84AB5">
            <w:pPr>
              <w:jc w:val="left"/>
              <w:rPr>
                <w:rFonts w:ascii="Arial" w:hAnsi="Arial" w:cs="Arial"/>
                <w:b/>
                <w:bCs/>
                <w:color w:val="FFFFFF" w:themeColor="background1"/>
                <w:sz w:val="16"/>
                <w:szCs w:val="16"/>
              </w:rPr>
            </w:pPr>
            <w:r w:rsidRPr="004675D3">
              <w:rPr>
                <w:rFonts w:ascii="Arial" w:hAnsi="Arial" w:cs="Arial"/>
                <w:b/>
                <w:bCs/>
                <w:color w:val="FFFFFF" w:themeColor="background1"/>
                <w:sz w:val="16"/>
                <w:szCs w:val="16"/>
              </w:rPr>
              <w:t>Coverage</w:t>
            </w:r>
          </w:p>
        </w:tc>
        <w:tc>
          <w:tcPr>
            <w:tcW w:w="1724" w:type="dxa"/>
            <w:shd w:val="clear" w:color="auto" w:fill="A6A6A6" w:themeFill="background1" w:themeFillShade="A6"/>
            <w:vAlign w:val="center"/>
            <w:hideMark/>
          </w:tcPr>
          <w:p w14:paraId="38BCF626" w14:textId="77777777" w:rsidR="008C5F6E" w:rsidRPr="004675D3" w:rsidRDefault="008C5F6E" w:rsidP="00C84AB5">
            <w:pPr>
              <w:jc w:val="left"/>
              <w:rPr>
                <w:rFonts w:ascii="Arial" w:hAnsi="Arial" w:cs="Arial"/>
                <w:b/>
                <w:bCs/>
                <w:color w:val="FFFFFF" w:themeColor="background1"/>
                <w:sz w:val="16"/>
                <w:szCs w:val="16"/>
              </w:rPr>
            </w:pPr>
            <w:r w:rsidRPr="004675D3">
              <w:rPr>
                <w:rFonts w:ascii="Arial" w:hAnsi="Arial" w:cs="Arial"/>
                <w:b/>
                <w:bCs/>
                <w:color w:val="FFFFFF" w:themeColor="background1"/>
                <w:sz w:val="16"/>
                <w:szCs w:val="16"/>
              </w:rPr>
              <w:t>Country coverage</w:t>
            </w:r>
          </w:p>
        </w:tc>
        <w:tc>
          <w:tcPr>
            <w:tcW w:w="1185" w:type="dxa"/>
            <w:shd w:val="clear" w:color="auto" w:fill="A6A6A6" w:themeFill="background1" w:themeFillShade="A6"/>
            <w:vAlign w:val="center"/>
            <w:hideMark/>
          </w:tcPr>
          <w:p w14:paraId="443BD5DD" w14:textId="77777777" w:rsidR="008C5F6E" w:rsidRPr="004675D3" w:rsidRDefault="008C5F6E" w:rsidP="00C84AB5">
            <w:pPr>
              <w:jc w:val="left"/>
              <w:rPr>
                <w:rFonts w:ascii="Arial" w:hAnsi="Arial" w:cs="Arial"/>
                <w:b/>
                <w:bCs/>
                <w:color w:val="FFFFFF" w:themeColor="background1"/>
                <w:sz w:val="16"/>
                <w:szCs w:val="16"/>
              </w:rPr>
            </w:pPr>
            <w:r w:rsidRPr="004675D3">
              <w:rPr>
                <w:rFonts w:ascii="Arial" w:hAnsi="Arial" w:cs="Arial"/>
                <w:b/>
                <w:bCs/>
                <w:color w:val="FFFFFF" w:themeColor="background1"/>
                <w:sz w:val="16"/>
                <w:szCs w:val="16"/>
              </w:rPr>
              <w:t>Reference</w:t>
            </w:r>
          </w:p>
        </w:tc>
      </w:tr>
      <w:tr w:rsidR="008C5F6E" w:rsidRPr="004675D3" w14:paraId="74D5C094" w14:textId="77777777" w:rsidTr="00C84AB5">
        <w:trPr>
          <w:trHeight w:val="225"/>
        </w:trPr>
        <w:tc>
          <w:tcPr>
            <w:tcW w:w="3970" w:type="dxa"/>
            <w:noWrap/>
            <w:hideMark/>
          </w:tcPr>
          <w:p w14:paraId="76DB9D49" w14:textId="77777777" w:rsidR="008C5F6E" w:rsidRPr="004675D3" w:rsidRDefault="008C5F6E" w:rsidP="00C84AB5">
            <w:pPr>
              <w:rPr>
                <w:rFonts w:ascii="Arial" w:hAnsi="Arial" w:cs="Arial"/>
                <w:sz w:val="16"/>
                <w:szCs w:val="16"/>
              </w:rPr>
            </w:pPr>
            <w:r w:rsidRPr="004675D3">
              <w:rPr>
                <w:rFonts w:ascii="Arial" w:hAnsi="Arial" w:cs="Arial"/>
                <w:sz w:val="16"/>
                <w:szCs w:val="16"/>
              </w:rPr>
              <w:t>Asia Pacific Energy Portal</w:t>
            </w:r>
          </w:p>
        </w:tc>
        <w:tc>
          <w:tcPr>
            <w:tcW w:w="2137" w:type="dxa"/>
            <w:noWrap/>
            <w:hideMark/>
          </w:tcPr>
          <w:p w14:paraId="622DFE4A"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198157FE" w14:textId="77777777" w:rsidR="008C5F6E" w:rsidRPr="004675D3" w:rsidRDefault="008C5F6E" w:rsidP="00C84AB5">
            <w:pPr>
              <w:rPr>
                <w:rFonts w:ascii="Arial" w:hAnsi="Arial" w:cs="Arial"/>
                <w:sz w:val="16"/>
                <w:szCs w:val="16"/>
              </w:rPr>
            </w:pPr>
            <w:r w:rsidRPr="004675D3">
              <w:rPr>
                <w:rFonts w:ascii="Arial" w:hAnsi="Arial" w:cs="Arial"/>
                <w:sz w:val="16"/>
                <w:szCs w:val="16"/>
              </w:rPr>
              <w:t>Asia-Pacific</w:t>
            </w:r>
          </w:p>
        </w:tc>
        <w:tc>
          <w:tcPr>
            <w:tcW w:w="1185" w:type="dxa"/>
            <w:noWrap/>
            <w:hideMark/>
          </w:tcPr>
          <w:p w14:paraId="12196F76" w14:textId="77777777" w:rsidR="008C5F6E" w:rsidRPr="004675D3" w:rsidRDefault="008C5F6E" w:rsidP="00C84AB5">
            <w:pPr>
              <w:rPr>
                <w:rFonts w:ascii="Arial" w:hAnsi="Arial" w:cs="Arial"/>
                <w:sz w:val="16"/>
                <w:szCs w:val="16"/>
                <w:u w:val="single"/>
              </w:rPr>
            </w:pPr>
            <w:hyperlink r:id="rId11" w:anchor="main/lang/en/time/[1990,2018]/geo/[THA]/scope/[National]/cat/[]/timeline" w:history="1">
              <w:r w:rsidRPr="004675D3">
                <w:rPr>
                  <w:rStyle w:val="Hyperlink"/>
                  <w:rFonts w:ascii="Arial" w:hAnsi="Arial" w:cs="Arial"/>
                  <w:sz w:val="16"/>
                  <w:szCs w:val="16"/>
                </w:rPr>
                <w:t>link</w:t>
              </w:r>
            </w:hyperlink>
          </w:p>
        </w:tc>
      </w:tr>
      <w:tr w:rsidR="008C5F6E" w:rsidRPr="004675D3" w14:paraId="7E226B2D" w14:textId="77777777" w:rsidTr="00C84AB5">
        <w:trPr>
          <w:trHeight w:val="225"/>
        </w:trPr>
        <w:tc>
          <w:tcPr>
            <w:tcW w:w="3970" w:type="dxa"/>
            <w:noWrap/>
            <w:hideMark/>
          </w:tcPr>
          <w:p w14:paraId="4749EF3E" w14:textId="77777777" w:rsidR="008C5F6E" w:rsidRPr="004675D3" w:rsidRDefault="008C5F6E" w:rsidP="00C84AB5">
            <w:pPr>
              <w:rPr>
                <w:rFonts w:ascii="Arial" w:hAnsi="Arial" w:cs="Arial"/>
                <w:sz w:val="16"/>
                <w:szCs w:val="16"/>
              </w:rPr>
            </w:pPr>
            <w:r w:rsidRPr="004675D3">
              <w:rPr>
                <w:rFonts w:ascii="Arial" w:hAnsi="Arial" w:cs="Arial"/>
                <w:sz w:val="16"/>
                <w:szCs w:val="16"/>
              </w:rPr>
              <w:t>Brown to Green report</w:t>
            </w:r>
          </w:p>
        </w:tc>
        <w:tc>
          <w:tcPr>
            <w:tcW w:w="2137" w:type="dxa"/>
            <w:noWrap/>
            <w:hideMark/>
          </w:tcPr>
          <w:p w14:paraId="7A6BF290"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1A4584BD" w14:textId="77777777" w:rsidR="008C5F6E" w:rsidRPr="004675D3" w:rsidRDefault="008C5F6E" w:rsidP="00C84AB5">
            <w:pPr>
              <w:rPr>
                <w:rFonts w:ascii="Arial" w:hAnsi="Arial" w:cs="Arial"/>
                <w:sz w:val="16"/>
                <w:szCs w:val="16"/>
              </w:rPr>
            </w:pPr>
            <w:r w:rsidRPr="004675D3">
              <w:rPr>
                <w:rFonts w:ascii="Arial" w:hAnsi="Arial" w:cs="Arial"/>
                <w:sz w:val="16"/>
                <w:szCs w:val="16"/>
              </w:rPr>
              <w:t>G20</w:t>
            </w:r>
          </w:p>
        </w:tc>
        <w:tc>
          <w:tcPr>
            <w:tcW w:w="1185" w:type="dxa"/>
            <w:noWrap/>
            <w:hideMark/>
          </w:tcPr>
          <w:p w14:paraId="7801F50A" w14:textId="77777777" w:rsidR="008C5F6E" w:rsidRPr="004675D3" w:rsidRDefault="008C5F6E" w:rsidP="00C84AB5">
            <w:pPr>
              <w:rPr>
                <w:rFonts w:ascii="Arial" w:hAnsi="Arial" w:cs="Arial"/>
                <w:sz w:val="16"/>
                <w:szCs w:val="16"/>
                <w:u w:val="single"/>
              </w:rPr>
            </w:pPr>
            <w:hyperlink r:id="rId12" w:anchor="1531904804037-423d5c88-a7a7" w:history="1">
              <w:r w:rsidRPr="004675D3">
                <w:rPr>
                  <w:rStyle w:val="Hyperlink"/>
                  <w:rFonts w:ascii="Arial" w:hAnsi="Arial" w:cs="Arial"/>
                  <w:sz w:val="16"/>
                  <w:szCs w:val="16"/>
                </w:rPr>
                <w:t>link</w:t>
              </w:r>
            </w:hyperlink>
          </w:p>
        </w:tc>
      </w:tr>
      <w:tr w:rsidR="008C5F6E" w:rsidRPr="004675D3" w14:paraId="367ADA1A" w14:textId="77777777" w:rsidTr="00C84AB5">
        <w:trPr>
          <w:trHeight w:val="225"/>
        </w:trPr>
        <w:tc>
          <w:tcPr>
            <w:tcW w:w="3970" w:type="dxa"/>
            <w:noWrap/>
            <w:hideMark/>
          </w:tcPr>
          <w:p w14:paraId="0976A8F1" w14:textId="77777777" w:rsidR="008C5F6E" w:rsidRPr="004675D3" w:rsidRDefault="008C5F6E" w:rsidP="00C84AB5">
            <w:pPr>
              <w:rPr>
                <w:rFonts w:ascii="Arial" w:hAnsi="Arial" w:cs="Arial"/>
                <w:sz w:val="16"/>
                <w:szCs w:val="16"/>
              </w:rPr>
            </w:pPr>
            <w:r w:rsidRPr="004675D3">
              <w:rPr>
                <w:rFonts w:ascii="Arial" w:hAnsi="Arial" w:cs="Arial"/>
                <w:sz w:val="16"/>
                <w:szCs w:val="16"/>
              </w:rPr>
              <w:t>CAIT INDC</w:t>
            </w:r>
          </w:p>
        </w:tc>
        <w:tc>
          <w:tcPr>
            <w:tcW w:w="2137" w:type="dxa"/>
            <w:noWrap/>
            <w:hideMark/>
          </w:tcPr>
          <w:p w14:paraId="283BE850"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1D4C18D6"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0B618012" w14:textId="77777777" w:rsidR="008C5F6E" w:rsidRPr="004675D3" w:rsidRDefault="008C5F6E" w:rsidP="00C84AB5">
            <w:pPr>
              <w:rPr>
                <w:rFonts w:ascii="Arial" w:hAnsi="Arial" w:cs="Arial"/>
                <w:sz w:val="16"/>
                <w:szCs w:val="16"/>
                <w:u w:val="single"/>
              </w:rPr>
            </w:pPr>
            <w:hyperlink r:id="rId13" w:history="1">
              <w:r w:rsidRPr="004675D3">
                <w:rPr>
                  <w:rStyle w:val="Hyperlink"/>
                  <w:rFonts w:ascii="Arial" w:hAnsi="Arial" w:cs="Arial"/>
                  <w:sz w:val="16"/>
                  <w:szCs w:val="16"/>
                </w:rPr>
                <w:t>link</w:t>
              </w:r>
            </w:hyperlink>
          </w:p>
        </w:tc>
      </w:tr>
      <w:tr w:rsidR="008C5F6E" w:rsidRPr="004675D3" w14:paraId="71424895" w14:textId="77777777" w:rsidTr="00C84AB5">
        <w:trPr>
          <w:trHeight w:val="225"/>
        </w:trPr>
        <w:tc>
          <w:tcPr>
            <w:tcW w:w="3970" w:type="dxa"/>
            <w:noWrap/>
            <w:hideMark/>
          </w:tcPr>
          <w:p w14:paraId="220DEDB1" w14:textId="77777777" w:rsidR="008C5F6E" w:rsidRPr="004675D3" w:rsidRDefault="008C5F6E" w:rsidP="00C84AB5">
            <w:pPr>
              <w:rPr>
                <w:rFonts w:ascii="Arial" w:hAnsi="Arial" w:cs="Arial"/>
                <w:sz w:val="16"/>
                <w:szCs w:val="16"/>
              </w:rPr>
            </w:pPr>
            <w:r w:rsidRPr="004675D3">
              <w:rPr>
                <w:rFonts w:ascii="Arial" w:hAnsi="Arial" w:cs="Arial"/>
                <w:sz w:val="16"/>
                <w:szCs w:val="16"/>
              </w:rPr>
              <w:t>Climate Action Tracker</w:t>
            </w:r>
          </w:p>
        </w:tc>
        <w:tc>
          <w:tcPr>
            <w:tcW w:w="2137" w:type="dxa"/>
            <w:noWrap/>
            <w:hideMark/>
          </w:tcPr>
          <w:p w14:paraId="0B645567"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232D0971"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11CFF04C" w14:textId="77777777" w:rsidR="008C5F6E" w:rsidRPr="004675D3" w:rsidRDefault="008C5F6E" w:rsidP="00C84AB5">
            <w:pPr>
              <w:rPr>
                <w:rFonts w:ascii="Arial" w:hAnsi="Arial" w:cs="Arial"/>
                <w:sz w:val="16"/>
                <w:szCs w:val="16"/>
                <w:u w:val="single"/>
              </w:rPr>
            </w:pPr>
            <w:hyperlink r:id="rId14" w:history="1">
              <w:r w:rsidRPr="004675D3">
                <w:rPr>
                  <w:rStyle w:val="Hyperlink"/>
                  <w:rFonts w:ascii="Arial" w:hAnsi="Arial" w:cs="Arial"/>
                  <w:sz w:val="16"/>
                  <w:szCs w:val="16"/>
                </w:rPr>
                <w:t>link</w:t>
              </w:r>
            </w:hyperlink>
          </w:p>
        </w:tc>
      </w:tr>
      <w:tr w:rsidR="008C5F6E" w:rsidRPr="004675D3" w14:paraId="7975C6E7" w14:textId="77777777" w:rsidTr="00C84AB5">
        <w:trPr>
          <w:trHeight w:val="225"/>
        </w:trPr>
        <w:tc>
          <w:tcPr>
            <w:tcW w:w="3970" w:type="dxa"/>
            <w:noWrap/>
            <w:hideMark/>
          </w:tcPr>
          <w:p w14:paraId="16E76615" w14:textId="77777777" w:rsidR="008C5F6E" w:rsidRPr="004675D3" w:rsidRDefault="008C5F6E" w:rsidP="00C84AB5">
            <w:pPr>
              <w:rPr>
                <w:rFonts w:ascii="Arial" w:hAnsi="Arial" w:cs="Arial"/>
                <w:sz w:val="16"/>
                <w:szCs w:val="16"/>
              </w:rPr>
            </w:pPr>
            <w:r w:rsidRPr="004675D3">
              <w:rPr>
                <w:rFonts w:ascii="Arial" w:hAnsi="Arial" w:cs="Arial"/>
                <w:sz w:val="16"/>
                <w:szCs w:val="16"/>
              </w:rPr>
              <w:t>Columbia Law School Database</w:t>
            </w:r>
          </w:p>
        </w:tc>
        <w:tc>
          <w:tcPr>
            <w:tcW w:w="2137" w:type="dxa"/>
            <w:noWrap/>
            <w:hideMark/>
          </w:tcPr>
          <w:p w14:paraId="4643E11C"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351FD2D4"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20E7D8D2" w14:textId="77777777" w:rsidR="008C5F6E" w:rsidRPr="004675D3" w:rsidRDefault="008C5F6E" w:rsidP="00C84AB5">
            <w:pPr>
              <w:rPr>
                <w:rFonts w:ascii="Arial" w:hAnsi="Arial" w:cs="Arial"/>
                <w:sz w:val="16"/>
                <w:szCs w:val="16"/>
                <w:u w:val="single"/>
              </w:rPr>
            </w:pPr>
            <w:hyperlink r:id="rId15" w:history="1">
              <w:r w:rsidRPr="004675D3">
                <w:rPr>
                  <w:rStyle w:val="Hyperlink"/>
                  <w:rFonts w:ascii="Arial" w:hAnsi="Arial" w:cs="Arial"/>
                  <w:sz w:val="16"/>
                  <w:szCs w:val="16"/>
                </w:rPr>
                <w:t>link</w:t>
              </w:r>
            </w:hyperlink>
          </w:p>
        </w:tc>
      </w:tr>
      <w:tr w:rsidR="008C5F6E" w:rsidRPr="004675D3" w14:paraId="6D6564C7" w14:textId="77777777" w:rsidTr="00C84AB5">
        <w:trPr>
          <w:trHeight w:val="225"/>
        </w:trPr>
        <w:tc>
          <w:tcPr>
            <w:tcW w:w="3970" w:type="dxa"/>
            <w:noWrap/>
            <w:hideMark/>
          </w:tcPr>
          <w:p w14:paraId="365C8B39" w14:textId="77777777" w:rsidR="008C5F6E" w:rsidRPr="004675D3" w:rsidRDefault="008C5F6E" w:rsidP="00C84AB5">
            <w:pPr>
              <w:rPr>
                <w:rFonts w:ascii="Arial" w:hAnsi="Arial" w:cs="Arial"/>
                <w:sz w:val="16"/>
                <w:szCs w:val="16"/>
              </w:rPr>
            </w:pPr>
            <w:r w:rsidRPr="004675D3">
              <w:rPr>
                <w:rFonts w:ascii="Arial" w:hAnsi="Arial" w:cs="Arial"/>
                <w:sz w:val="16"/>
                <w:szCs w:val="16"/>
              </w:rPr>
              <w:t>COMMIT</w:t>
            </w:r>
          </w:p>
        </w:tc>
        <w:tc>
          <w:tcPr>
            <w:tcW w:w="2137" w:type="dxa"/>
            <w:noWrap/>
            <w:hideMark/>
          </w:tcPr>
          <w:p w14:paraId="1755D490"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52C85D65"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6BB3D7A9" w14:textId="77777777" w:rsidR="008C5F6E" w:rsidRPr="004675D3" w:rsidRDefault="008C5F6E" w:rsidP="00C84AB5">
            <w:pPr>
              <w:rPr>
                <w:rFonts w:ascii="Arial" w:hAnsi="Arial" w:cs="Arial"/>
                <w:sz w:val="16"/>
                <w:szCs w:val="16"/>
                <w:u w:val="single"/>
              </w:rPr>
            </w:pPr>
            <w:hyperlink r:id="rId16" w:history="1">
              <w:r w:rsidRPr="004675D3">
                <w:rPr>
                  <w:rStyle w:val="Hyperlink"/>
                  <w:rFonts w:ascii="Arial" w:hAnsi="Arial" w:cs="Arial"/>
                  <w:sz w:val="16"/>
                  <w:szCs w:val="16"/>
                </w:rPr>
                <w:t>link</w:t>
              </w:r>
            </w:hyperlink>
          </w:p>
        </w:tc>
      </w:tr>
      <w:tr w:rsidR="008C5F6E" w:rsidRPr="004675D3" w14:paraId="1D71C81C" w14:textId="77777777" w:rsidTr="00C84AB5">
        <w:trPr>
          <w:trHeight w:val="225"/>
        </w:trPr>
        <w:tc>
          <w:tcPr>
            <w:tcW w:w="3970" w:type="dxa"/>
            <w:noWrap/>
            <w:hideMark/>
          </w:tcPr>
          <w:p w14:paraId="65D82632" w14:textId="77777777" w:rsidR="008C5F6E" w:rsidRPr="004675D3" w:rsidRDefault="008C5F6E" w:rsidP="00C84AB5">
            <w:pPr>
              <w:rPr>
                <w:rFonts w:ascii="Arial" w:hAnsi="Arial" w:cs="Arial"/>
                <w:sz w:val="16"/>
                <w:szCs w:val="16"/>
              </w:rPr>
            </w:pPr>
            <w:r w:rsidRPr="004675D3">
              <w:rPr>
                <w:rFonts w:ascii="Arial" w:hAnsi="Arial" w:cs="Arial"/>
                <w:sz w:val="16"/>
                <w:szCs w:val="16"/>
              </w:rPr>
              <w:t>Deutsche Bank Global Climate Policy Tracker</w:t>
            </w:r>
          </w:p>
        </w:tc>
        <w:tc>
          <w:tcPr>
            <w:tcW w:w="2137" w:type="dxa"/>
            <w:noWrap/>
            <w:hideMark/>
          </w:tcPr>
          <w:p w14:paraId="303E2867"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5BA0C1E5"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413B5D29" w14:textId="77777777" w:rsidR="008C5F6E" w:rsidRPr="004675D3" w:rsidRDefault="008C5F6E" w:rsidP="00C84AB5">
            <w:pPr>
              <w:rPr>
                <w:rFonts w:ascii="Arial" w:hAnsi="Arial" w:cs="Arial"/>
                <w:sz w:val="16"/>
                <w:szCs w:val="16"/>
                <w:u w:val="single"/>
              </w:rPr>
            </w:pPr>
            <w:hyperlink r:id="rId17" w:history="1">
              <w:r w:rsidRPr="004675D3">
                <w:rPr>
                  <w:rStyle w:val="Hyperlink"/>
                  <w:rFonts w:ascii="Arial" w:hAnsi="Arial" w:cs="Arial"/>
                  <w:sz w:val="16"/>
                  <w:szCs w:val="16"/>
                </w:rPr>
                <w:t>link</w:t>
              </w:r>
            </w:hyperlink>
          </w:p>
        </w:tc>
      </w:tr>
      <w:tr w:rsidR="008C5F6E" w:rsidRPr="004675D3" w14:paraId="16273C96" w14:textId="77777777" w:rsidTr="00C84AB5">
        <w:trPr>
          <w:trHeight w:val="225"/>
        </w:trPr>
        <w:tc>
          <w:tcPr>
            <w:tcW w:w="3970" w:type="dxa"/>
            <w:noWrap/>
            <w:hideMark/>
          </w:tcPr>
          <w:p w14:paraId="3116A853" w14:textId="77777777" w:rsidR="008C5F6E" w:rsidRPr="004675D3" w:rsidRDefault="008C5F6E" w:rsidP="00C84AB5">
            <w:pPr>
              <w:rPr>
                <w:rFonts w:ascii="Arial" w:hAnsi="Arial" w:cs="Arial"/>
                <w:sz w:val="16"/>
                <w:szCs w:val="16"/>
              </w:rPr>
            </w:pPr>
            <w:proofErr w:type="spellStart"/>
            <w:r w:rsidRPr="004675D3">
              <w:rPr>
                <w:rFonts w:ascii="Arial" w:hAnsi="Arial" w:cs="Arial"/>
                <w:sz w:val="16"/>
                <w:szCs w:val="16"/>
              </w:rPr>
              <w:t>Dieselnet</w:t>
            </w:r>
            <w:proofErr w:type="spellEnd"/>
          </w:p>
        </w:tc>
        <w:tc>
          <w:tcPr>
            <w:tcW w:w="2137" w:type="dxa"/>
            <w:noWrap/>
            <w:hideMark/>
          </w:tcPr>
          <w:p w14:paraId="4D443CF0" w14:textId="77777777" w:rsidR="008C5F6E" w:rsidRPr="004675D3" w:rsidRDefault="008C5F6E" w:rsidP="00C84AB5">
            <w:pPr>
              <w:rPr>
                <w:rFonts w:ascii="Arial" w:hAnsi="Arial" w:cs="Arial"/>
                <w:sz w:val="16"/>
                <w:szCs w:val="16"/>
              </w:rPr>
            </w:pPr>
            <w:r w:rsidRPr="004675D3">
              <w:rPr>
                <w:rFonts w:ascii="Arial" w:hAnsi="Arial" w:cs="Arial"/>
                <w:sz w:val="16"/>
                <w:szCs w:val="16"/>
              </w:rPr>
              <w:t>Emissions standards</w:t>
            </w:r>
          </w:p>
        </w:tc>
        <w:tc>
          <w:tcPr>
            <w:tcW w:w="1724" w:type="dxa"/>
            <w:noWrap/>
            <w:hideMark/>
          </w:tcPr>
          <w:p w14:paraId="4DE29349"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08393808" w14:textId="77777777" w:rsidR="008C5F6E" w:rsidRPr="004675D3" w:rsidRDefault="008C5F6E" w:rsidP="00C84AB5">
            <w:pPr>
              <w:rPr>
                <w:rFonts w:ascii="Arial" w:hAnsi="Arial" w:cs="Arial"/>
                <w:sz w:val="16"/>
                <w:szCs w:val="16"/>
                <w:u w:val="single"/>
              </w:rPr>
            </w:pPr>
            <w:hyperlink r:id="rId18" w:history="1">
              <w:r w:rsidRPr="004675D3">
                <w:rPr>
                  <w:rStyle w:val="Hyperlink"/>
                  <w:rFonts w:ascii="Arial" w:hAnsi="Arial" w:cs="Arial"/>
                  <w:sz w:val="16"/>
                  <w:szCs w:val="16"/>
                </w:rPr>
                <w:t>link</w:t>
              </w:r>
            </w:hyperlink>
          </w:p>
        </w:tc>
      </w:tr>
      <w:tr w:rsidR="008C5F6E" w:rsidRPr="004675D3" w14:paraId="1ECCD1DF" w14:textId="77777777" w:rsidTr="00C84AB5">
        <w:trPr>
          <w:trHeight w:val="225"/>
        </w:trPr>
        <w:tc>
          <w:tcPr>
            <w:tcW w:w="3970" w:type="dxa"/>
            <w:noWrap/>
            <w:hideMark/>
          </w:tcPr>
          <w:p w14:paraId="7A4C0A60" w14:textId="77777777" w:rsidR="008C5F6E" w:rsidRPr="004675D3" w:rsidRDefault="008C5F6E" w:rsidP="00C84AB5">
            <w:pPr>
              <w:rPr>
                <w:rFonts w:ascii="Arial" w:hAnsi="Arial" w:cs="Arial"/>
                <w:sz w:val="16"/>
                <w:szCs w:val="16"/>
              </w:rPr>
            </w:pPr>
            <w:r w:rsidRPr="004675D3">
              <w:rPr>
                <w:rFonts w:ascii="Arial" w:hAnsi="Arial" w:cs="Arial"/>
                <w:sz w:val="16"/>
                <w:szCs w:val="16"/>
              </w:rPr>
              <w:t>ECOLEX</w:t>
            </w:r>
          </w:p>
        </w:tc>
        <w:tc>
          <w:tcPr>
            <w:tcW w:w="2137" w:type="dxa"/>
            <w:noWrap/>
            <w:hideMark/>
          </w:tcPr>
          <w:p w14:paraId="5236F471"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214C7EBA"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tcPr>
          <w:p w14:paraId="0EA659B9" w14:textId="77777777" w:rsidR="008C5F6E" w:rsidRPr="004675D3" w:rsidRDefault="008C5F6E" w:rsidP="00C84AB5">
            <w:pPr>
              <w:rPr>
                <w:rFonts w:ascii="Arial" w:hAnsi="Arial" w:cs="Arial"/>
                <w:sz w:val="16"/>
                <w:szCs w:val="16"/>
                <w:u w:val="single"/>
              </w:rPr>
            </w:pPr>
            <w:hyperlink r:id="rId19" w:history="1">
              <w:r w:rsidRPr="004675D3">
                <w:rPr>
                  <w:rStyle w:val="Hyperlink"/>
                  <w:rFonts w:ascii="Arial" w:hAnsi="Arial" w:cs="Arial"/>
                  <w:sz w:val="16"/>
                  <w:szCs w:val="16"/>
                </w:rPr>
                <w:t>link</w:t>
              </w:r>
            </w:hyperlink>
          </w:p>
        </w:tc>
      </w:tr>
      <w:tr w:rsidR="008C5F6E" w:rsidRPr="004675D3" w14:paraId="69623BCE" w14:textId="77777777" w:rsidTr="00C84AB5">
        <w:trPr>
          <w:trHeight w:val="225"/>
        </w:trPr>
        <w:tc>
          <w:tcPr>
            <w:tcW w:w="3970" w:type="dxa"/>
            <w:noWrap/>
            <w:hideMark/>
          </w:tcPr>
          <w:p w14:paraId="329C0C50" w14:textId="77777777" w:rsidR="008C5F6E" w:rsidRPr="004675D3" w:rsidRDefault="008C5F6E" w:rsidP="00C84AB5">
            <w:pPr>
              <w:rPr>
                <w:rFonts w:ascii="Arial" w:hAnsi="Arial" w:cs="Arial"/>
                <w:sz w:val="16"/>
                <w:szCs w:val="16"/>
              </w:rPr>
            </w:pPr>
            <w:r w:rsidRPr="004675D3">
              <w:rPr>
                <w:rFonts w:ascii="Arial" w:hAnsi="Arial" w:cs="Arial"/>
                <w:sz w:val="16"/>
                <w:szCs w:val="16"/>
              </w:rPr>
              <w:t>EU Climate Change Mitigation Policies and Measures</w:t>
            </w:r>
          </w:p>
        </w:tc>
        <w:tc>
          <w:tcPr>
            <w:tcW w:w="2137" w:type="dxa"/>
            <w:noWrap/>
            <w:hideMark/>
          </w:tcPr>
          <w:p w14:paraId="27912AA9"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071E67D2" w14:textId="77777777" w:rsidR="008C5F6E" w:rsidRPr="004675D3" w:rsidRDefault="008C5F6E" w:rsidP="00C84AB5">
            <w:pPr>
              <w:rPr>
                <w:rFonts w:ascii="Arial" w:hAnsi="Arial" w:cs="Arial"/>
                <w:sz w:val="16"/>
                <w:szCs w:val="16"/>
              </w:rPr>
            </w:pPr>
            <w:r w:rsidRPr="004675D3">
              <w:rPr>
                <w:rFonts w:ascii="Arial" w:hAnsi="Arial" w:cs="Arial"/>
                <w:sz w:val="16"/>
                <w:szCs w:val="16"/>
              </w:rPr>
              <w:t>EU</w:t>
            </w:r>
          </w:p>
        </w:tc>
        <w:tc>
          <w:tcPr>
            <w:tcW w:w="1185" w:type="dxa"/>
            <w:noWrap/>
            <w:hideMark/>
          </w:tcPr>
          <w:p w14:paraId="34818F46" w14:textId="77777777" w:rsidR="008C5F6E" w:rsidRPr="004675D3" w:rsidRDefault="008C5F6E" w:rsidP="00C84AB5">
            <w:pPr>
              <w:rPr>
                <w:rFonts w:ascii="Arial" w:hAnsi="Arial" w:cs="Arial"/>
                <w:sz w:val="16"/>
                <w:szCs w:val="16"/>
                <w:u w:val="single"/>
              </w:rPr>
            </w:pPr>
            <w:hyperlink r:id="rId20" w:history="1">
              <w:r w:rsidRPr="004675D3">
                <w:rPr>
                  <w:rStyle w:val="Hyperlink"/>
                  <w:rFonts w:ascii="Arial" w:hAnsi="Arial" w:cs="Arial"/>
                  <w:sz w:val="16"/>
                  <w:szCs w:val="16"/>
                </w:rPr>
                <w:t>link</w:t>
              </w:r>
            </w:hyperlink>
          </w:p>
        </w:tc>
      </w:tr>
      <w:tr w:rsidR="008C5F6E" w:rsidRPr="004675D3" w14:paraId="06B2F1F2" w14:textId="77777777" w:rsidTr="00C84AB5">
        <w:trPr>
          <w:trHeight w:val="225"/>
        </w:trPr>
        <w:tc>
          <w:tcPr>
            <w:tcW w:w="3970" w:type="dxa"/>
            <w:noWrap/>
            <w:hideMark/>
          </w:tcPr>
          <w:p w14:paraId="789D43B2" w14:textId="77777777" w:rsidR="008C5F6E" w:rsidRPr="004675D3" w:rsidRDefault="008C5F6E" w:rsidP="00C84AB5">
            <w:pPr>
              <w:rPr>
                <w:rFonts w:ascii="Arial" w:hAnsi="Arial" w:cs="Arial"/>
                <w:sz w:val="16"/>
                <w:szCs w:val="16"/>
              </w:rPr>
            </w:pPr>
            <w:r w:rsidRPr="004675D3">
              <w:rPr>
                <w:rFonts w:ascii="Arial" w:hAnsi="Arial" w:cs="Arial"/>
                <w:sz w:val="16"/>
                <w:szCs w:val="16"/>
              </w:rPr>
              <w:t>GBPN - Building Policies for a Better World</w:t>
            </w:r>
          </w:p>
        </w:tc>
        <w:tc>
          <w:tcPr>
            <w:tcW w:w="2137" w:type="dxa"/>
            <w:noWrap/>
            <w:hideMark/>
          </w:tcPr>
          <w:p w14:paraId="443AF927" w14:textId="77777777" w:rsidR="008C5F6E" w:rsidRPr="004675D3" w:rsidRDefault="008C5F6E" w:rsidP="00C84AB5">
            <w:pPr>
              <w:rPr>
                <w:rFonts w:ascii="Arial" w:hAnsi="Arial" w:cs="Arial"/>
                <w:sz w:val="16"/>
                <w:szCs w:val="16"/>
              </w:rPr>
            </w:pPr>
            <w:r w:rsidRPr="004675D3">
              <w:rPr>
                <w:rFonts w:ascii="Arial" w:hAnsi="Arial" w:cs="Arial"/>
                <w:sz w:val="16"/>
                <w:szCs w:val="16"/>
              </w:rPr>
              <w:t>Buildings</w:t>
            </w:r>
          </w:p>
        </w:tc>
        <w:tc>
          <w:tcPr>
            <w:tcW w:w="1724" w:type="dxa"/>
            <w:noWrap/>
            <w:hideMark/>
          </w:tcPr>
          <w:p w14:paraId="25751FD1"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195255D1" w14:textId="77777777" w:rsidR="008C5F6E" w:rsidRPr="004675D3" w:rsidRDefault="008C5F6E" w:rsidP="00C84AB5">
            <w:pPr>
              <w:rPr>
                <w:rFonts w:ascii="Arial" w:hAnsi="Arial" w:cs="Arial"/>
                <w:sz w:val="16"/>
                <w:szCs w:val="16"/>
                <w:u w:val="single"/>
              </w:rPr>
            </w:pPr>
            <w:hyperlink r:id="rId21" w:history="1">
              <w:r w:rsidRPr="004675D3">
                <w:rPr>
                  <w:rStyle w:val="Hyperlink"/>
                  <w:rFonts w:ascii="Arial" w:hAnsi="Arial" w:cs="Arial"/>
                  <w:sz w:val="16"/>
                  <w:szCs w:val="16"/>
                </w:rPr>
                <w:t>link</w:t>
              </w:r>
            </w:hyperlink>
          </w:p>
        </w:tc>
      </w:tr>
      <w:tr w:rsidR="008C5F6E" w:rsidRPr="004675D3" w14:paraId="40BAE5C5" w14:textId="77777777" w:rsidTr="00C84AB5">
        <w:trPr>
          <w:trHeight w:val="225"/>
        </w:trPr>
        <w:tc>
          <w:tcPr>
            <w:tcW w:w="3970" w:type="dxa"/>
            <w:noWrap/>
            <w:hideMark/>
          </w:tcPr>
          <w:p w14:paraId="19F87B2D" w14:textId="77777777" w:rsidR="008C5F6E" w:rsidRPr="004675D3" w:rsidRDefault="008C5F6E" w:rsidP="00C84AB5">
            <w:pPr>
              <w:rPr>
                <w:rFonts w:ascii="Arial" w:hAnsi="Arial" w:cs="Arial"/>
                <w:sz w:val="16"/>
                <w:szCs w:val="16"/>
              </w:rPr>
            </w:pPr>
            <w:r w:rsidRPr="004675D3">
              <w:rPr>
                <w:rFonts w:ascii="Arial" w:hAnsi="Arial" w:cs="Arial"/>
                <w:sz w:val="16"/>
                <w:szCs w:val="16"/>
              </w:rPr>
              <w:t>ICAP Emissions Trading Schemes</w:t>
            </w:r>
          </w:p>
        </w:tc>
        <w:tc>
          <w:tcPr>
            <w:tcW w:w="2137" w:type="dxa"/>
            <w:noWrap/>
            <w:hideMark/>
          </w:tcPr>
          <w:p w14:paraId="6C9A31E8"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727972D6"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383768C3" w14:textId="77777777" w:rsidR="008C5F6E" w:rsidRPr="004675D3" w:rsidRDefault="008C5F6E" w:rsidP="00C84AB5">
            <w:pPr>
              <w:rPr>
                <w:rFonts w:ascii="Arial" w:hAnsi="Arial" w:cs="Arial"/>
                <w:sz w:val="16"/>
                <w:szCs w:val="16"/>
                <w:u w:val="single"/>
              </w:rPr>
            </w:pPr>
            <w:hyperlink r:id="rId22" w:history="1">
              <w:r w:rsidRPr="004675D3">
                <w:rPr>
                  <w:rStyle w:val="Hyperlink"/>
                  <w:rFonts w:ascii="Arial" w:hAnsi="Arial" w:cs="Arial"/>
                  <w:sz w:val="16"/>
                  <w:szCs w:val="16"/>
                </w:rPr>
                <w:t>link</w:t>
              </w:r>
            </w:hyperlink>
          </w:p>
        </w:tc>
      </w:tr>
      <w:tr w:rsidR="008C5F6E" w:rsidRPr="004675D3" w14:paraId="2E52DE3F" w14:textId="77777777" w:rsidTr="00C84AB5">
        <w:trPr>
          <w:trHeight w:val="225"/>
        </w:trPr>
        <w:tc>
          <w:tcPr>
            <w:tcW w:w="3970" w:type="dxa"/>
            <w:noWrap/>
            <w:hideMark/>
          </w:tcPr>
          <w:p w14:paraId="5D0D83BE" w14:textId="77777777" w:rsidR="008C5F6E" w:rsidRPr="004675D3" w:rsidRDefault="008C5F6E" w:rsidP="00C84AB5">
            <w:pPr>
              <w:rPr>
                <w:rFonts w:ascii="Arial" w:hAnsi="Arial" w:cs="Arial"/>
                <w:sz w:val="16"/>
                <w:szCs w:val="16"/>
              </w:rPr>
            </w:pPr>
            <w:r w:rsidRPr="004675D3">
              <w:rPr>
                <w:rFonts w:ascii="Arial" w:hAnsi="Arial" w:cs="Arial"/>
                <w:sz w:val="16"/>
                <w:szCs w:val="16"/>
              </w:rPr>
              <w:t>IEA Clean Coal Database</w:t>
            </w:r>
          </w:p>
        </w:tc>
        <w:tc>
          <w:tcPr>
            <w:tcW w:w="2137" w:type="dxa"/>
            <w:noWrap/>
            <w:hideMark/>
          </w:tcPr>
          <w:p w14:paraId="6A83ED4F" w14:textId="77777777" w:rsidR="008C5F6E" w:rsidRPr="004675D3" w:rsidRDefault="008C5F6E" w:rsidP="00C84AB5">
            <w:pPr>
              <w:rPr>
                <w:rFonts w:ascii="Arial" w:hAnsi="Arial" w:cs="Arial"/>
                <w:sz w:val="16"/>
                <w:szCs w:val="16"/>
              </w:rPr>
            </w:pPr>
            <w:r w:rsidRPr="004675D3">
              <w:rPr>
                <w:rFonts w:ascii="Arial" w:hAnsi="Arial" w:cs="Arial"/>
                <w:sz w:val="16"/>
                <w:szCs w:val="16"/>
              </w:rPr>
              <w:t>Emissions standards</w:t>
            </w:r>
          </w:p>
        </w:tc>
        <w:tc>
          <w:tcPr>
            <w:tcW w:w="1724" w:type="dxa"/>
            <w:noWrap/>
            <w:hideMark/>
          </w:tcPr>
          <w:p w14:paraId="6233CF02"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78995B5C" w14:textId="77777777" w:rsidR="008C5F6E" w:rsidRPr="004675D3" w:rsidRDefault="008C5F6E" w:rsidP="00C84AB5">
            <w:pPr>
              <w:rPr>
                <w:rFonts w:ascii="Arial" w:hAnsi="Arial" w:cs="Arial"/>
                <w:sz w:val="16"/>
                <w:szCs w:val="16"/>
                <w:u w:val="single"/>
              </w:rPr>
            </w:pPr>
            <w:hyperlink r:id="rId23" w:history="1">
              <w:r w:rsidRPr="004675D3">
                <w:rPr>
                  <w:rStyle w:val="Hyperlink"/>
                  <w:rFonts w:ascii="Arial" w:hAnsi="Arial" w:cs="Arial"/>
                  <w:sz w:val="16"/>
                  <w:szCs w:val="16"/>
                </w:rPr>
                <w:t>link</w:t>
              </w:r>
            </w:hyperlink>
          </w:p>
        </w:tc>
      </w:tr>
      <w:tr w:rsidR="008C5F6E" w:rsidRPr="004675D3" w14:paraId="371E29B9" w14:textId="77777777" w:rsidTr="00C84AB5">
        <w:trPr>
          <w:trHeight w:val="225"/>
        </w:trPr>
        <w:tc>
          <w:tcPr>
            <w:tcW w:w="3970" w:type="dxa"/>
            <w:noWrap/>
            <w:hideMark/>
          </w:tcPr>
          <w:p w14:paraId="3C24DA3F" w14:textId="77777777" w:rsidR="008C5F6E" w:rsidRPr="004675D3" w:rsidRDefault="008C5F6E" w:rsidP="00C84AB5">
            <w:pPr>
              <w:rPr>
                <w:rFonts w:ascii="Arial" w:hAnsi="Arial" w:cs="Arial"/>
                <w:sz w:val="16"/>
                <w:szCs w:val="16"/>
              </w:rPr>
            </w:pPr>
            <w:r w:rsidRPr="004675D3">
              <w:rPr>
                <w:rFonts w:ascii="Arial" w:hAnsi="Arial" w:cs="Arial"/>
                <w:sz w:val="16"/>
                <w:szCs w:val="16"/>
              </w:rPr>
              <w:t>IEA Policy Database</w:t>
            </w:r>
          </w:p>
        </w:tc>
        <w:tc>
          <w:tcPr>
            <w:tcW w:w="2137" w:type="dxa"/>
            <w:noWrap/>
            <w:hideMark/>
          </w:tcPr>
          <w:p w14:paraId="6CD5880A" w14:textId="77777777" w:rsidR="008C5F6E" w:rsidRPr="004675D3" w:rsidRDefault="008C5F6E" w:rsidP="00C84AB5">
            <w:pPr>
              <w:rPr>
                <w:rFonts w:ascii="Arial" w:hAnsi="Arial" w:cs="Arial"/>
                <w:sz w:val="16"/>
                <w:szCs w:val="16"/>
              </w:rPr>
            </w:pPr>
            <w:r w:rsidRPr="004675D3">
              <w:rPr>
                <w:rFonts w:ascii="Arial" w:hAnsi="Arial" w:cs="Arial"/>
                <w:sz w:val="16"/>
                <w:szCs w:val="16"/>
              </w:rPr>
              <w:t>Energy-related</w:t>
            </w:r>
          </w:p>
        </w:tc>
        <w:tc>
          <w:tcPr>
            <w:tcW w:w="1724" w:type="dxa"/>
            <w:noWrap/>
            <w:hideMark/>
          </w:tcPr>
          <w:p w14:paraId="56D0C9B6"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22D7427B" w14:textId="77777777" w:rsidR="008C5F6E" w:rsidRPr="004675D3" w:rsidRDefault="008C5F6E" w:rsidP="00C84AB5">
            <w:pPr>
              <w:rPr>
                <w:rFonts w:ascii="Arial" w:hAnsi="Arial" w:cs="Arial"/>
                <w:sz w:val="16"/>
                <w:szCs w:val="16"/>
                <w:u w:val="single"/>
              </w:rPr>
            </w:pPr>
            <w:hyperlink r:id="rId24" w:history="1">
              <w:r w:rsidRPr="004675D3">
                <w:rPr>
                  <w:rStyle w:val="Hyperlink"/>
                  <w:rFonts w:ascii="Arial" w:hAnsi="Arial" w:cs="Arial"/>
                  <w:sz w:val="16"/>
                  <w:szCs w:val="16"/>
                </w:rPr>
                <w:t>link</w:t>
              </w:r>
            </w:hyperlink>
          </w:p>
        </w:tc>
      </w:tr>
      <w:tr w:rsidR="008C5F6E" w:rsidRPr="004675D3" w14:paraId="3E157107" w14:textId="77777777" w:rsidTr="00C84AB5">
        <w:trPr>
          <w:trHeight w:val="225"/>
        </w:trPr>
        <w:tc>
          <w:tcPr>
            <w:tcW w:w="3970" w:type="dxa"/>
            <w:noWrap/>
            <w:hideMark/>
          </w:tcPr>
          <w:p w14:paraId="1B336B29" w14:textId="77777777" w:rsidR="008C5F6E" w:rsidRPr="004675D3" w:rsidRDefault="008C5F6E" w:rsidP="00C84AB5">
            <w:pPr>
              <w:rPr>
                <w:rFonts w:ascii="Arial" w:hAnsi="Arial" w:cs="Arial"/>
                <w:sz w:val="16"/>
                <w:szCs w:val="16"/>
              </w:rPr>
            </w:pPr>
            <w:r w:rsidRPr="004675D3">
              <w:rPr>
                <w:rFonts w:ascii="Arial" w:hAnsi="Arial" w:cs="Arial"/>
                <w:sz w:val="16"/>
                <w:szCs w:val="16"/>
              </w:rPr>
              <w:t>INDCs - UNFCCC</w:t>
            </w:r>
          </w:p>
        </w:tc>
        <w:tc>
          <w:tcPr>
            <w:tcW w:w="2137" w:type="dxa"/>
            <w:noWrap/>
            <w:hideMark/>
          </w:tcPr>
          <w:p w14:paraId="1EA2CC47" w14:textId="77777777" w:rsidR="008C5F6E" w:rsidRPr="004675D3" w:rsidRDefault="008C5F6E" w:rsidP="00C84AB5">
            <w:pPr>
              <w:rPr>
                <w:rFonts w:ascii="Arial" w:hAnsi="Arial" w:cs="Arial"/>
                <w:sz w:val="16"/>
                <w:szCs w:val="16"/>
              </w:rPr>
            </w:pPr>
            <w:r w:rsidRPr="004675D3">
              <w:rPr>
                <w:rFonts w:ascii="Arial" w:hAnsi="Arial" w:cs="Arial"/>
                <w:sz w:val="16"/>
                <w:szCs w:val="16"/>
              </w:rPr>
              <w:t>NDCs</w:t>
            </w:r>
          </w:p>
        </w:tc>
        <w:tc>
          <w:tcPr>
            <w:tcW w:w="1724" w:type="dxa"/>
            <w:noWrap/>
            <w:hideMark/>
          </w:tcPr>
          <w:p w14:paraId="6683851A"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5E9610F5" w14:textId="77777777" w:rsidR="008C5F6E" w:rsidRPr="004675D3" w:rsidRDefault="008C5F6E" w:rsidP="00C84AB5">
            <w:pPr>
              <w:rPr>
                <w:rFonts w:ascii="Arial" w:hAnsi="Arial" w:cs="Arial"/>
                <w:sz w:val="16"/>
                <w:szCs w:val="16"/>
                <w:u w:val="single"/>
              </w:rPr>
            </w:pPr>
            <w:hyperlink r:id="rId25" w:history="1">
              <w:r w:rsidRPr="004675D3">
                <w:rPr>
                  <w:rStyle w:val="Hyperlink"/>
                  <w:rFonts w:ascii="Arial" w:hAnsi="Arial" w:cs="Arial"/>
                  <w:sz w:val="16"/>
                  <w:szCs w:val="16"/>
                </w:rPr>
                <w:t>link</w:t>
              </w:r>
            </w:hyperlink>
          </w:p>
        </w:tc>
      </w:tr>
      <w:tr w:rsidR="008C5F6E" w:rsidRPr="004675D3" w14:paraId="4B5DB0D7" w14:textId="77777777" w:rsidTr="00C84AB5">
        <w:trPr>
          <w:trHeight w:val="225"/>
        </w:trPr>
        <w:tc>
          <w:tcPr>
            <w:tcW w:w="3970" w:type="dxa"/>
            <w:noWrap/>
            <w:hideMark/>
          </w:tcPr>
          <w:p w14:paraId="579DF435" w14:textId="77777777" w:rsidR="008C5F6E" w:rsidRPr="004675D3" w:rsidRDefault="008C5F6E" w:rsidP="00C84AB5">
            <w:pPr>
              <w:rPr>
                <w:rFonts w:ascii="Arial" w:hAnsi="Arial" w:cs="Arial"/>
                <w:sz w:val="16"/>
                <w:szCs w:val="16"/>
              </w:rPr>
            </w:pPr>
            <w:r w:rsidRPr="004675D3">
              <w:rPr>
                <w:rFonts w:ascii="Arial" w:hAnsi="Arial" w:cs="Arial"/>
                <w:sz w:val="16"/>
                <w:szCs w:val="16"/>
              </w:rPr>
              <w:t>Climate Change Laws of the World</w:t>
            </w:r>
          </w:p>
        </w:tc>
        <w:tc>
          <w:tcPr>
            <w:tcW w:w="2137" w:type="dxa"/>
            <w:noWrap/>
            <w:hideMark/>
          </w:tcPr>
          <w:p w14:paraId="61AE66D9"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7AAC8B9D"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4874FEBF" w14:textId="77777777" w:rsidR="008C5F6E" w:rsidRPr="004675D3" w:rsidRDefault="008C5F6E" w:rsidP="00C84AB5">
            <w:pPr>
              <w:rPr>
                <w:rFonts w:ascii="Arial" w:hAnsi="Arial" w:cs="Arial"/>
                <w:sz w:val="16"/>
                <w:szCs w:val="16"/>
                <w:u w:val="single"/>
              </w:rPr>
            </w:pPr>
            <w:hyperlink r:id="rId26" w:history="1">
              <w:r w:rsidRPr="004675D3">
                <w:rPr>
                  <w:rStyle w:val="Hyperlink"/>
                  <w:rFonts w:ascii="Arial" w:hAnsi="Arial" w:cs="Arial"/>
                  <w:sz w:val="16"/>
                  <w:szCs w:val="16"/>
                </w:rPr>
                <w:t>link</w:t>
              </w:r>
            </w:hyperlink>
          </w:p>
        </w:tc>
      </w:tr>
      <w:tr w:rsidR="008C5F6E" w:rsidRPr="004675D3" w14:paraId="624E67A9" w14:textId="77777777" w:rsidTr="00C84AB5">
        <w:trPr>
          <w:trHeight w:val="225"/>
        </w:trPr>
        <w:tc>
          <w:tcPr>
            <w:tcW w:w="3970" w:type="dxa"/>
            <w:noWrap/>
            <w:hideMark/>
          </w:tcPr>
          <w:p w14:paraId="6455FE92" w14:textId="77777777" w:rsidR="008C5F6E" w:rsidRPr="004675D3" w:rsidRDefault="008C5F6E" w:rsidP="00C84AB5">
            <w:pPr>
              <w:rPr>
                <w:rFonts w:ascii="Arial" w:hAnsi="Arial" w:cs="Arial"/>
                <w:sz w:val="16"/>
                <w:szCs w:val="16"/>
              </w:rPr>
            </w:pPr>
            <w:r w:rsidRPr="004675D3">
              <w:rPr>
                <w:rFonts w:ascii="Arial" w:hAnsi="Arial" w:cs="Arial"/>
                <w:sz w:val="16"/>
                <w:szCs w:val="16"/>
              </w:rPr>
              <w:t>OECD Energy taxes</w:t>
            </w:r>
          </w:p>
        </w:tc>
        <w:tc>
          <w:tcPr>
            <w:tcW w:w="2137" w:type="dxa"/>
            <w:noWrap/>
            <w:hideMark/>
          </w:tcPr>
          <w:p w14:paraId="52141868"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67F920CD" w14:textId="77777777" w:rsidR="008C5F6E" w:rsidRPr="004675D3" w:rsidRDefault="008C5F6E" w:rsidP="00C84AB5">
            <w:pPr>
              <w:rPr>
                <w:rFonts w:ascii="Arial" w:hAnsi="Arial" w:cs="Arial"/>
                <w:sz w:val="16"/>
                <w:szCs w:val="16"/>
              </w:rPr>
            </w:pPr>
            <w:r w:rsidRPr="004675D3">
              <w:rPr>
                <w:rFonts w:ascii="Arial" w:hAnsi="Arial" w:cs="Arial"/>
                <w:sz w:val="16"/>
                <w:szCs w:val="16"/>
              </w:rPr>
              <w:t>OECD + others</w:t>
            </w:r>
          </w:p>
        </w:tc>
        <w:tc>
          <w:tcPr>
            <w:tcW w:w="1185" w:type="dxa"/>
            <w:noWrap/>
            <w:hideMark/>
          </w:tcPr>
          <w:p w14:paraId="5B6C3C33" w14:textId="77777777" w:rsidR="008C5F6E" w:rsidRPr="004675D3" w:rsidRDefault="008C5F6E" w:rsidP="00C84AB5">
            <w:pPr>
              <w:rPr>
                <w:rFonts w:ascii="Arial" w:hAnsi="Arial" w:cs="Arial"/>
                <w:sz w:val="16"/>
                <w:szCs w:val="16"/>
                <w:u w:val="single"/>
              </w:rPr>
            </w:pPr>
            <w:hyperlink r:id="rId27" w:history="1">
              <w:r w:rsidRPr="004675D3">
                <w:rPr>
                  <w:rStyle w:val="Hyperlink"/>
                  <w:rFonts w:ascii="Arial" w:hAnsi="Arial" w:cs="Arial"/>
                  <w:sz w:val="16"/>
                  <w:szCs w:val="16"/>
                </w:rPr>
                <w:t>link</w:t>
              </w:r>
            </w:hyperlink>
          </w:p>
        </w:tc>
      </w:tr>
      <w:tr w:rsidR="008C5F6E" w:rsidRPr="004675D3" w14:paraId="5C880672" w14:textId="77777777" w:rsidTr="00C84AB5">
        <w:trPr>
          <w:trHeight w:val="225"/>
        </w:trPr>
        <w:tc>
          <w:tcPr>
            <w:tcW w:w="3970" w:type="dxa"/>
            <w:noWrap/>
            <w:hideMark/>
          </w:tcPr>
          <w:p w14:paraId="74EBB740" w14:textId="77777777" w:rsidR="008C5F6E" w:rsidRPr="004675D3" w:rsidRDefault="008C5F6E" w:rsidP="00C84AB5">
            <w:pPr>
              <w:rPr>
                <w:rFonts w:ascii="Arial" w:hAnsi="Arial" w:cs="Arial"/>
                <w:sz w:val="16"/>
                <w:szCs w:val="16"/>
              </w:rPr>
            </w:pPr>
            <w:r w:rsidRPr="004675D3">
              <w:rPr>
                <w:rFonts w:ascii="Arial" w:hAnsi="Arial" w:cs="Arial"/>
                <w:sz w:val="16"/>
                <w:szCs w:val="16"/>
              </w:rPr>
              <w:t>OECD Stat</w:t>
            </w:r>
          </w:p>
        </w:tc>
        <w:tc>
          <w:tcPr>
            <w:tcW w:w="2137" w:type="dxa"/>
            <w:noWrap/>
            <w:hideMark/>
          </w:tcPr>
          <w:p w14:paraId="11E211EE"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 (indicators)</w:t>
            </w:r>
          </w:p>
        </w:tc>
        <w:tc>
          <w:tcPr>
            <w:tcW w:w="1724" w:type="dxa"/>
            <w:noWrap/>
            <w:hideMark/>
          </w:tcPr>
          <w:p w14:paraId="28D69EB8" w14:textId="77777777" w:rsidR="008C5F6E" w:rsidRPr="004675D3" w:rsidRDefault="008C5F6E" w:rsidP="00C84AB5">
            <w:pPr>
              <w:rPr>
                <w:rFonts w:ascii="Arial" w:hAnsi="Arial" w:cs="Arial"/>
                <w:sz w:val="16"/>
                <w:szCs w:val="16"/>
              </w:rPr>
            </w:pPr>
            <w:r w:rsidRPr="004675D3">
              <w:rPr>
                <w:rFonts w:ascii="Arial" w:hAnsi="Arial" w:cs="Arial"/>
                <w:sz w:val="16"/>
                <w:szCs w:val="16"/>
              </w:rPr>
              <w:t>OECD + others</w:t>
            </w:r>
          </w:p>
        </w:tc>
        <w:tc>
          <w:tcPr>
            <w:tcW w:w="1185" w:type="dxa"/>
            <w:noWrap/>
            <w:hideMark/>
          </w:tcPr>
          <w:p w14:paraId="4C93C8B8" w14:textId="77777777" w:rsidR="008C5F6E" w:rsidRPr="004675D3" w:rsidRDefault="008C5F6E" w:rsidP="00C84AB5">
            <w:pPr>
              <w:rPr>
                <w:rFonts w:ascii="Arial" w:hAnsi="Arial" w:cs="Arial"/>
                <w:sz w:val="16"/>
                <w:szCs w:val="16"/>
                <w:u w:val="single"/>
              </w:rPr>
            </w:pPr>
            <w:hyperlink r:id="rId28" w:history="1">
              <w:hyperlink r:id="rId29" w:history="1">
                <w:r w:rsidRPr="004675D3">
                  <w:rPr>
                    <w:rStyle w:val="Hyperlink"/>
                    <w:rFonts w:ascii="Arial" w:hAnsi="Arial" w:cs="Arial"/>
                    <w:sz w:val="16"/>
                    <w:szCs w:val="16"/>
                  </w:rPr>
                  <w:t>link</w:t>
                </w:r>
              </w:hyperlink>
            </w:hyperlink>
          </w:p>
        </w:tc>
      </w:tr>
      <w:tr w:rsidR="008C5F6E" w:rsidRPr="004675D3" w14:paraId="3899B689" w14:textId="77777777" w:rsidTr="00C84AB5">
        <w:trPr>
          <w:trHeight w:val="225"/>
        </w:trPr>
        <w:tc>
          <w:tcPr>
            <w:tcW w:w="3970" w:type="dxa"/>
            <w:noWrap/>
            <w:hideMark/>
          </w:tcPr>
          <w:p w14:paraId="696C27D1" w14:textId="77777777" w:rsidR="008C5F6E" w:rsidRPr="004675D3" w:rsidRDefault="008C5F6E" w:rsidP="00C84AB5">
            <w:pPr>
              <w:rPr>
                <w:rFonts w:ascii="Arial" w:hAnsi="Arial" w:cs="Arial"/>
                <w:sz w:val="16"/>
                <w:szCs w:val="16"/>
              </w:rPr>
            </w:pPr>
            <w:r w:rsidRPr="004675D3">
              <w:rPr>
                <w:rFonts w:ascii="Arial" w:hAnsi="Arial" w:cs="Arial"/>
                <w:sz w:val="16"/>
                <w:szCs w:val="16"/>
              </w:rPr>
              <w:t>OECD Policy Instruments for the environment</w:t>
            </w:r>
          </w:p>
        </w:tc>
        <w:tc>
          <w:tcPr>
            <w:tcW w:w="2137" w:type="dxa"/>
            <w:noWrap/>
            <w:hideMark/>
          </w:tcPr>
          <w:p w14:paraId="7540660C"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4297D47E" w14:textId="77777777" w:rsidR="008C5F6E" w:rsidRPr="004675D3" w:rsidRDefault="008C5F6E" w:rsidP="00C84AB5">
            <w:pPr>
              <w:rPr>
                <w:rFonts w:ascii="Arial" w:hAnsi="Arial" w:cs="Arial"/>
                <w:sz w:val="16"/>
                <w:szCs w:val="16"/>
              </w:rPr>
            </w:pPr>
            <w:r w:rsidRPr="004675D3">
              <w:rPr>
                <w:rFonts w:ascii="Arial" w:hAnsi="Arial" w:cs="Arial"/>
                <w:sz w:val="16"/>
                <w:szCs w:val="16"/>
              </w:rPr>
              <w:t>OECD + others</w:t>
            </w:r>
          </w:p>
        </w:tc>
        <w:tc>
          <w:tcPr>
            <w:tcW w:w="1185" w:type="dxa"/>
            <w:noWrap/>
            <w:hideMark/>
          </w:tcPr>
          <w:p w14:paraId="55BFC29C" w14:textId="77777777" w:rsidR="008C5F6E" w:rsidRPr="004675D3" w:rsidRDefault="008C5F6E" w:rsidP="00C84AB5">
            <w:pPr>
              <w:rPr>
                <w:rFonts w:ascii="Arial" w:hAnsi="Arial" w:cs="Arial"/>
                <w:sz w:val="16"/>
                <w:szCs w:val="16"/>
                <w:u w:val="single"/>
              </w:rPr>
            </w:pPr>
            <w:hyperlink r:id="rId30" w:history="1">
              <w:r w:rsidRPr="004675D3">
                <w:rPr>
                  <w:rStyle w:val="Hyperlink"/>
                  <w:rFonts w:ascii="Arial" w:hAnsi="Arial" w:cs="Arial"/>
                  <w:sz w:val="16"/>
                  <w:szCs w:val="16"/>
                </w:rPr>
                <w:t>link</w:t>
              </w:r>
            </w:hyperlink>
          </w:p>
        </w:tc>
      </w:tr>
      <w:tr w:rsidR="008C5F6E" w:rsidRPr="004675D3" w14:paraId="3B0B54C2" w14:textId="77777777" w:rsidTr="00C84AB5">
        <w:trPr>
          <w:trHeight w:val="225"/>
        </w:trPr>
        <w:tc>
          <w:tcPr>
            <w:tcW w:w="3970" w:type="dxa"/>
            <w:noWrap/>
            <w:hideMark/>
          </w:tcPr>
          <w:p w14:paraId="7BFC73C4" w14:textId="77777777" w:rsidR="008C5F6E" w:rsidRPr="004675D3" w:rsidRDefault="008C5F6E" w:rsidP="00C84AB5">
            <w:pPr>
              <w:rPr>
                <w:rFonts w:ascii="Arial" w:hAnsi="Arial" w:cs="Arial"/>
                <w:sz w:val="16"/>
                <w:szCs w:val="16"/>
              </w:rPr>
            </w:pPr>
            <w:r w:rsidRPr="004675D3">
              <w:rPr>
                <w:rFonts w:ascii="Arial" w:hAnsi="Arial" w:cs="Arial"/>
                <w:sz w:val="16"/>
                <w:szCs w:val="16"/>
              </w:rPr>
              <w:t>PBL COP update 2016</w:t>
            </w:r>
          </w:p>
        </w:tc>
        <w:tc>
          <w:tcPr>
            <w:tcW w:w="2137" w:type="dxa"/>
            <w:noWrap/>
            <w:hideMark/>
          </w:tcPr>
          <w:p w14:paraId="1EF229C8"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4B398FA2"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7A48199B" w14:textId="77777777" w:rsidR="008C5F6E" w:rsidRPr="004675D3" w:rsidRDefault="008C5F6E" w:rsidP="00C84AB5">
            <w:pPr>
              <w:rPr>
                <w:rFonts w:ascii="Arial" w:hAnsi="Arial" w:cs="Arial"/>
                <w:sz w:val="16"/>
                <w:szCs w:val="16"/>
                <w:u w:val="single"/>
              </w:rPr>
            </w:pPr>
            <w:hyperlink r:id="rId31" w:history="1">
              <w:r w:rsidRPr="004675D3">
                <w:rPr>
                  <w:rStyle w:val="Hyperlink"/>
                  <w:rFonts w:ascii="Arial" w:hAnsi="Arial" w:cs="Arial"/>
                  <w:sz w:val="16"/>
                  <w:szCs w:val="16"/>
                </w:rPr>
                <w:t>link</w:t>
              </w:r>
            </w:hyperlink>
          </w:p>
        </w:tc>
      </w:tr>
      <w:tr w:rsidR="008C5F6E" w:rsidRPr="004675D3" w14:paraId="75D9E819" w14:textId="77777777" w:rsidTr="00C84AB5">
        <w:trPr>
          <w:trHeight w:val="225"/>
        </w:trPr>
        <w:tc>
          <w:tcPr>
            <w:tcW w:w="3970" w:type="dxa"/>
            <w:noWrap/>
            <w:hideMark/>
          </w:tcPr>
          <w:p w14:paraId="3CBF5D49" w14:textId="77777777" w:rsidR="008C5F6E" w:rsidRPr="004675D3" w:rsidRDefault="008C5F6E" w:rsidP="00C84AB5">
            <w:pPr>
              <w:rPr>
                <w:rFonts w:ascii="Arial" w:hAnsi="Arial" w:cs="Arial"/>
                <w:sz w:val="16"/>
                <w:szCs w:val="16"/>
              </w:rPr>
            </w:pPr>
            <w:r w:rsidRPr="004675D3">
              <w:rPr>
                <w:rFonts w:ascii="Arial" w:hAnsi="Arial" w:cs="Arial"/>
                <w:sz w:val="16"/>
                <w:szCs w:val="16"/>
              </w:rPr>
              <w:t>PBL COP update 2017</w:t>
            </w:r>
          </w:p>
        </w:tc>
        <w:tc>
          <w:tcPr>
            <w:tcW w:w="2137" w:type="dxa"/>
            <w:noWrap/>
            <w:hideMark/>
          </w:tcPr>
          <w:p w14:paraId="146A85F3"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55A1793E"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2EB521AE" w14:textId="77777777" w:rsidR="008C5F6E" w:rsidRPr="004675D3" w:rsidRDefault="008C5F6E" w:rsidP="00C84AB5">
            <w:pPr>
              <w:rPr>
                <w:rFonts w:ascii="Arial" w:hAnsi="Arial" w:cs="Arial"/>
                <w:sz w:val="16"/>
                <w:szCs w:val="16"/>
                <w:u w:val="single"/>
              </w:rPr>
            </w:pPr>
            <w:hyperlink r:id="rId32" w:history="1">
              <w:r w:rsidRPr="004675D3">
                <w:rPr>
                  <w:rStyle w:val="Hyperlink"/>
                  <w:rFonts w:ascii="Arial" w:hAnsi="Arial" w:cs="Arial"/>
                  <w:sz w:val="16"/>
                  <w:szCs w:val="16"/>
                </w:rPr>
                <w:t>link</w:t>
              </w:r>
            </w:hyperlink>
          </w:p>
        </w:tc>
      </w:tr>
      <w:tr w:rsidR="008C5F6E" w:rsidRPr="004675D3" w14:paraId="07742338" w14:textId="77777777" w:rsidTr="00C84AB5">
        <w:trPr>
          <w:trHeight w:val="225"/>
        </w:trPr>
        <w:tc>
          <w:tcPr>
            <w:tcW w:w="3970" w:type="dxa"/>
            <w:noWrap/>
            <w:hideMark/>
          </w:tcPr>
          <w:p w14:paraId="43AA09C2" w14:textId="77777777" w:rsidR="008C5F6E" w:rsidRPr="004675D3" w:rsidRDefault="008C5F6E" w:rsidP="00C84AB5">
            <w:pPr>
              <w:rPr>
                <w:rFonts w:ascii="Arial" w:hAnsi="Arial" w:cs="Arial"/>
                <w:sz w:val="16"/>
                <w:szCs w:val="16"/>
              </w:rPr>
            </w:pPr>
            <w:r w:rsidRPr="004675D3">
              <w:rPr>
                <w:rFonts w:ascii="Arial" w:hAnsi="Arial" w:cs="Arial"/>
                <w:sz w:val="16"/>
                <w:szCs w:val="16"/>
              </w:rPr>
              <w:t>PBL COP update 2018</w:t>
            </w:r>
          </w:p>
        </w:tc>
        <w:tc>
          <w:tcPr>
            <w:tcW w:w="2137" w:type="dxa"/>
            <w:noWrap/>
            <w:hideMark/>
          </w:tcPr>
          <w:p w14:paraId="6D4528EC"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113FD096"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5831BEDE" w14:textId="77777777" w:rsidR="008C5F6E" w:rsidRPr="004675D3" w:rsidRDefault="008C5F6E" w:rsidP="00C84AB5">
            <w:pPr>
              <w:rPr>
                <w:rFonts w:ascii="Arial" w:hAnsi="Arial" w:cs="Arial"/>
                <w:sz w:val="16"/>
                <w:szCs w:val="16"/>
                <w:u w:val="single"/>
              </w:rPr>
            </w:pPr>
            <w:hyperlink r:id="rId33" w:history="1">
              <w:r w:rsidRPr="004675D3">
                <w:rPr>
                  <w:rStyle w:val="Hyperlink"/>
                  <w:rFonts w:ascii="Arial" w:hAnsi="Arial" w:cs="Arial"/>
                  <w:sz w:val="16"/>
                  <w:szCs w:val="16"/>
                </w:rPr>
                <w:t>link</w:t>
              </w:r>
            </w:hyperlink>
          </w:p>
        </w:tc>
      </w:tr>
      <w:tr w:rsidR="008C5F6E" w:rsidRPr="004675D3" w14:paraId="49D91778" w14:textId="77777777" w:rsidTr="00C84AB5">
        <w:trPr>
          <w:trHeight w:val="225"/>
        </w:trPr>
        <w:tc>
          <w:tcPr>
            <w:tcW w:w="3970" w:type="dxa"/>
            <w:noWrap/>
            <w:hideMark/>
          </w:tcPr>
          <w:p w14:paraId="0D77C349" w14:textId="77777777" w:rsidR="008C5F6E" w:rsidRPr="004675D3" w:rsidRDefault="008C5F6E" w:rsidP="00C84AB5">
            <w:pPr>
              <w:rPr>
                <w:rFonts w:ascii="Arial" w:hAnsi="Arial" w:cs="Arial"/>
                <w:sz w:val="16"/>
                <w:szCs w:val="16"/>
              </w:rPr>
            </w:pPr>
            <w:r w:rsidRPr="004675D3">
              <w:rPr>
                <w:rFonts w:ascii="Arial" w:hAnsi="Arial" w:cs="Arial"/>
                <w:sz w:val="16"/>
                <w:szCs w:val="16"/>
              </w:rPr>
              <w:t>PBL COP update 2019</w:t>
            </w:r>
          </w:p>
        </w:tc>
        <w:tc>
          <w:tcPr>
            <w:tcW w:w="2137" w:type="dxa"/>
            <w:noWrap/>
            <w:hideMark/>
          </w:tcPr>
          <w:p w14:paraId="468B73E1"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6EE94698"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0646167B" w14:textId="77777777" w:rsidR="008C5F6E" w:rsidRPr="004675D3" w:rsidRDefault="008C5F6E" w:rsidP="00C84AB5">
            <w:pPr>
              <w:rPr>
                <w:rFonts w:ascii="Arial" w:hAnsi="Arial" w:cs="Arial"/>
                <w:sz w:val="16"/>
                <w:szCs w:val="16"/>
                <w:u w:val="single"/>
              </w:rPr>
            </w:pPr>
            <w:hyperlink r:id="rId34" w:history="1">
              <w:r w:rsidRPr="004675D3">
                <w:rPr>
                  <w:rStyle w:val="Hyperlink"/>
                  <w:rFonts w:ascii="Arial" w:hAnsi="Arial" w:cs="Arial"/>
                  <w:sz w:val="16"/>
                  <w:szCs w:val="16"/>
                </w:rPr>
                <w:t>link</w:t>
              </w:r>
            </w:hyperlink>
          </w:p>
        </w:tc>
      </w:tr>
      <w:tr w:rsidR="008C5F6E" w:rsidRPr="004675D3" w14:paraId="258485D1" w14:textId="77777777" w:rsidTr="00C84AB5">
        <w:trPr>
          <w:trHeight w:val="225"/>
        </w:trPr>
        <w:tc>
          <w:tcPr>
            <w:tcW w:w="3970" w:type="dxa"/>
            <w:noWrap/>
            <w:hideMark/>
          </w:tcPr>
          <w:p w14:paraId="28662592" w14:textId="77777777" w:rsidR="008C5F6E" w:rsidRPr="004675D3" w:rsidRDefault="008C5F6E" w:rsidP="00C84AB5">
            <w:pPr>
              <w:rPr>
                <w:rFonts w:ascii="Arial" w:hAnsi="Arial" w:cs="Arial"/>
                <w:sz w:val="16"/>
                <w:szCs w:val="16"/>
              </w:rPr>
            </w:pPr>
            <w:r w:rsidRPr="004675D3">
              <w:rPr>
                <w:rFonts w:ascii="Arial" w:hAnsi="Arial" w:cs="Arial"/>
                <w:sz w:val="16"/>
                <w:szCs w:val="16"/>
              </w:rPr>
              <w:t>PBL Spring update 2018</w:t>
            </w:r>
          </w:p>
        </w:tc>
        <w:tc>
          <w:tcPr>
            <w:tcW w:w="2137" w:type="dxa"/>
            <w:noWrap/>
            <w:hideMark/>
          </w:tcPr>
          <w:p w14:paraId="71BC16BF"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57C18CE1"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3746785E" w14:textId="77777777" w:rsidR="008C5F6E" w:rsidRPr="004675D3" w:rsidRDefault="008C5F6E" w:rsidP="00C84AB5">
            <w:pPr>
              <w:rPr>
                <w:rFonts w:ascii="Arial" w:hAnsi="Arial" w:cs="Arial"/>
                <w:sz w:val="16"/>
                <w:szCs w:val="16"/>
                <w:u w:val="single"/>
              </w:rPr>
            </w:pPr>
            <w:hyperlink r:id="rId35" w:history="1">
              <w:r w:rsidRPr="004675D3">
                <w:rPr>
                  <w:rStyle w:val="Hyperlink"/>
                  <w:rFonts w:ascii="Arial" w:hAnsi="Arial" w:cs="Arial"/>
                  <w:sz w:val="16"/>
                  <w:szCs w:val="16"/>
                </w:rPr>
                <w:t>link</w:t>
              </w:r>
            </w:hyperlink>
          </w:p>
        </w:tc>
      </w:tr>
      <w:tr w:rsidR="008C5F6E" w:rsidRPr="004675D3" w14:paraId="644C11F0" w14:textId="77777777" w:rsidTr="00C84AB5">
        <w:trPr>
          <w:trHeight w:val="225"/>
        </w:trPr>
        <w:tc>
          <w:tcPr>
            <w:tcW w:w="3970" w:type="dxa"/>
            <w:noWrap/>
            <w:hideMark/>
          </w:tcPr>
          <w:p w14:paraId="680E6A55" w14:textId="77777777" w:rsidR="008C5F6E" w:rsidRPr="004675D3" w:rsidRDefault="008C5F6E" w:rsidP="00C84AB5">
            <w:pPr>
              <w:rPr>
                <w:rFonts w:ascii="Arial" w:hAnsi="Arial" w:cs="Arial"/>
                <w:sz w:val="16"/>
                <w:szCs w:val="16"/>
              </w:rPr>
            </w:pPr>
            <w:r w:rsidRPr="004675D3">
              <w:rPr>
                <w:rFonts w:ascii="Arial" w:hAnsi="Arial" w:cs="Arial"/>
                <w:sz w:val="16"/>
                <w:szCs w:val="16"/>
              </w:rPr>
              <w:t>PBL Spring update 2019</w:t>
            </w:r>
          </w:p>
        </w:tc>
        <w:tc>
          <w:tcPr>
            <w:tcW w:w="2137" w:type="dxa"/>
            <w:noWrap/>
            <w:hideMark/>
          </w:tcPr>
          <w:p w14:paraId="0C121CB1"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2DE375AA"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0A25B98D" w14:textId="77777777" w:rsidR="008C5F6E" w:rsidRPr="004675D3" w:rsidRDefault="008C5F6E" w:rsidP="00C84AB5">
            <w:pPr>
              <w:rPr>
                <w:rFonts w:ascii="Arial" w:hAnsi="Arial" w:cs="Arial"/>
                <w:sz w:val="16"/>
                <w:szCs w:val="16"/>
                <w:u w:val="single"/>
              </w:rPr>
            </w:pPr>
            <w:hyperlink r:id="rId36" w:history="1">
              <w:r w:rsidRPr="004675D3">
                <w:rPr>
                  <w:rStyle w:val="Hyperlink"/>
                  <w:rFonts w:ascii="Arial" w:hAnsi="Arial" w:cs="Arial"/>
                  <w:sz w:val="16"/>
                  <w:szCs w:val="16"/>
                </w:rPr>
                <w:t>link</w:t>
              </w:r>
            </w:hyperlink>
          </w:p>
        </w:tc>
      </w:tr>
      <w:tr w:rsidR="008C5F6E" w:rsidRPr="004675D3" w14:paraId="357B236E" w14:textId="77777777" w:rsidTr="00C84AB5">
        <w:trPr>
          <w:trHeight w:val="225"/>
        </w:trPr>
        <w:tc>
          <w:tcPr>
            <w:tcW w:w="3970" w:type="dxa"/>
            <w:noWrap/>
            <w:hideMark/>
          </w:tcPr>
          <w:p w14:paraId="55591B79" w14:textId="77777777" w:rsidR="008C5F6E" w:rsidRPr="004675D3" w:rsidRDefault="008C5F6E" w:rsidP="00C84AB5">
            <w:pPr>
              <w:rPr>
                <w:rFonts w:ascii="Arial" w:hAnsi="Arial" w:cs="Arial"/>
                <w:sz w:val="16"/>
                <w:szCs w:val="16"/>
              </w:rPr>
            </w:pPr>
            <w:r w:rsidRPr="004675D3">
              <w:rPr>
                <w:rFonts w:ascii="Arial" w:hAnsi="Arial" w:cs="Arial"/>
                <w:sz w:val="16"/>
                <w:szCs w:val="16"/>
              </w:rPr>
              <w:t>REN21</w:t>
            </w:r>
          </w:p>
        </w:tc>
        <w:tc>
          <w:tcPr>
            <w:tcW w:w="2137" w:type="dxa"/>
            <w:noWrap/>
            <w:hideMark/>
          </w:tcPr>
          <w:p w14:paraId="567FD164" w14:textId="77777777" w:rsidR="008C5F6E" w:rsidRPr="004675D3" w:rsidRDefault="008C5F6E" w:rsidP="00C84AB5">
            <w:pPr>
              <w:rPr>
                <w:rFonts w:ascii="Arial" w:hAnsi="Arial" w:cs="Arial"/>
                <w:sz w:val="16"/>
                <w:szCs w:val="16"/>
              </w:rPr>
            </w:pPr>
            <w:r w:rsidRPr="004675D3">
              <w:rPr>
                <w:rFonts w:ascii="Arial" w:hAnsi="Arial" w:cs="Arial"/>
                <w:sz w:val="16"/>
                <w:szCs w:val="16"/>
              </w:rPr>
              <w:t>Renewables/Efficiency</w:t>
            </w:r>
          </w:p>
        </w:tc>
        <w:tc>
          <w:tcPr>
            <w:tcW w:w="1724" w:type="dxa"/>
            <w:noWrap/>
            <w:hideMark/>
          </w:tcPr>
          <w:p w14:paraId="0090BA68"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tcPr>
          <w:p w14:paraId="4B4BC96C" w14:textId="77777777" w:rsidR="008C5F6E" w:rsidRPr="004675D3" w:rsidRDefault="008C5F6E" w:rsidP="00C84AB5">
            <w:pPr>
              <w:rPr>
                <w:rFonts w:ascii="Arial" w:hAnsi="Arial" w:cs="Arial"/>
                <w:sz w:val="16"/>
                <w:szCs w:val="16"/>
                <w:u w:val="single"/>
              </w:rPr>
            </w:pPr>
            <w:hyperlink r:id="rId37" w:history="1">
              <w:r w:rsidRPr="004675D3">
                <w:rPr>
                  <w:rStyle w:val="Hyperlink"/>
                  <w:rFonts w:ascii="Arial" w:hAnsi="Arial" w:cs="Arial"/>
                  <w:sz w:val="16"/>
                  <w:szCs w:val="16"/>
                </w:rPr>
                <w:t>link</w:t>
              </w:r>
            </w:hyperlink>
          </w:p>
        </w:tc>
      </w:tr>
      <w:tr w:rsidR="008C5F6E" w:rsidRPr="004675D3" w14:paraId="32812463" w14:textId="77777777" w:rsidTr="00C84AB5">
        <w:trPr>
          <w:trHeight w:val="225"/>
        </w:trPr>
        <w:tc>
          <w:tcPr>
            <w:tcW w:w="3970" w:type="dxa"/>
            <w:noWrap/>
            <w:hideMark/>
          </w:tcPr>
          <w:p w14:paraId="500B072E" w14:textId="77777777" w:rsidR="008C5F6E" w:rsidRPr="004675D3" w:rsidRDefault="008C5F6E" w:rsidP="00C84AB5">
            <w:pPr>
              <w:rPr>
                <w:rFonts w:ascii="Arial" w:hAnsi="Arial" w:cs="Arial"/>
                <w:sz w:val="16"/>
                <w:szCs w:val="16"/>
              </w:rPr>
            </w:pPr>
            <w:r w:rsidRPr="004675D3">
              <w:rPr>
                <w:rFonts w:ascii="Arial" w:hAnsi="Arial" w:cs="Arial"/>
                <w:sz w:val="16"/>
                <w:szCs w:val="16"/>
              </w:rPr>
              <w:t>RES Legal</w:t>
            </w:r>
          </w:p>
        </w:tc>
        <w:tc>
          <w:tcPr>
            <w:tcW w:w="2137" w:type="dxa"/>
            <w:noWrap/>
            <w:hideMark/>
          </w:tcPr>
          <w:p w14:paraId="521F4FD8" w14:textId="77777777" w:rsidR="008C5F6E" w:rsidRPr="004675D3" w:rsidRDefault="008C5F6E" w:rsidP="00C84AB5">
            <w:pPr>
              <w:rPr>
                <w:rFonts w:ascii="Arial" w:hAnsi="Arial" w:cs="Arial"/>
                <w:sz w:val="16"/>
                <w:szCs w:val="16"/>
              </w:rPr>
            </w:pPr>
            <w:r w:rsidRPr="004675D3">
              <w:rPr>
                <w:rFonts w:ascii="Arial" w:hAnsi="Arial" w:cs="Arial"/>
                <w:sz w:val="16"/>
                <w:szCs w:val="16"/>
              </w:rPr>
              <w:t>Renewables</w:t>
            </w:r>
          </w:p>
        </w:tc>
        <w:tc>
          <w:tcPr>
            <w:tcW w:w="1724" w:type="dxa"/>
            <w:noWrap/>
            <w:hideMark/>
          </w:tcPr>
          <w:p w14:paraId="1646ED09" w14:textId="77777777" w:rsidR="008C5F6E" w:rsidRPr="004675D3" w:rsidRDefault="008C5F6E" w:rsidP="00C84AB5">
            <w:pPr>
              <w:rPr>
                <w:rFonts w:ascii="Arial" w:hAnsi="Arial" w:cs="Arial"/>
                <w:sz w:val="16"/>
                <w:szCs w:val="16"/>
              </w:rPr>
            </w:pPr>
            <w:r w:rsidRPr="004675D3">
              <w:rPr>
                <w:rFonts w:ascii="Arial" w:hAnsi="Arial" w:cs="Arial"/>
                <w:sz w:val="16"/>
                <w:szCs w:val="16"/>
              </w:rPr>
              <w:t xml:space="preserve">EU </w:t>
            </w:r>
          </w:p>
        </w:tc>
        <w:tc>
          <w:tcPr>
            <w:tcW w:w="1185" w:type="dxa"/>
            <w:noWrap/>
            <w:hideMark/>
          </w:tcPr>
          <w:p w14:paraId="3A002466" w14:textId="77777777" w:rsidR="008C5F6E" w:rsidRPr="004675D3" w:rsidRDefault="008C5F6E" w:rsidP="00C84AB5">
            <w:pPr>
              <w:rPr>
                <w:rFonts w:ascii="Arial" w:hAnsi="Arial" w:cs="Arial"/>
                <w:sz w:val="16"/>
                <w:szCs w:val="16"/>
                <w:u w:val="single"/>
              </w:rPr>
            </w:pPr>
            <w:hyperlink r:id="rId38" w:history="1">
              <w:r w:rsidRPr="004675D3">
                <w:rPr>
                  <w:rStyle w:val="Hyperlink"/>
                  <w:rFonts w:ascii="Arial" w:hAnsi="Arial" w:cs="Arial"/>
                  <w:sz w:val="16"/>
                  <w:szCs w:val="16"/>
                </w:rPr>
                <w:t>link</w:t>
              </w:r>
            </w:hyperlink>
          </w:p>
        </w:tc>
      </w:tr>
      <w:tr w:rsidR="008C5F6E" w:rsidRPr="004675D3" w14:paraId="1D47651F" w14:textId="77777777" w:rsidTr="00C84AB5">
        <w:trPr>
          <w:trHeight w:val="225"/>
        </w:trPr>
        <w:tc>
          <w:tcPr>
            <w:tcW w:w="3970" w:type="dxa"/>
            <w:noWrap/>
            <w:hideMark/>
          </w:tcPr>
          <w:p w14:paraId="1F5DC0CF" w14:textId="77777777" w:rsidR="008C5F6E" w:rsidRPr="004675D3" w:rsidRDefault="008C5F6E" w:rsidP="00C84AB5">
            <w:pPr>
              <w:rPr>
                <w:rFonts w:ascii="Arial" w:hAnsi="Arial" w:cs="Arial"/>
                <w:sz w:val="16"/>
                <w:szCs w:val="16"/>
              </w:rPr>
            </w:pPr>
            <w:r w:rsidRPr="004675D3">
              <w:rPr>
                <w:rFonts w:ascii="Arial" w:hAnsi="Arial" w:cs="Arial"/>
                <w:sz w:val="16"/>
                <w:szCs w:val="16"/>
              </w:rPr>
              <w:t>Scaling up Argentina</w:t>
            </w:r>
          </w:p>
        </w:tc>
        <w:tc>
          <w:tcPr>
            <w:tcW w:w="2137" w:type="dxa"/>
            <w:noWrap/>
            <w:hideMark/>
          </w:tcPr>
          <w:p w14:paraId="6ABA8CAE"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11B3D3FE" w14:textId="77777777" w:rsidR="008C5F6E" w:rsidRPr="004675D3" w:rsidRDefault="008C5F6E" w:rsidP="00C84AB5">
            <w:pPr>
              <w:rPr>
                <w:rFonts w:ascii="Arial" w:hAnsi="Arial" w:cs="Arial"/>
                <w:sz w:val="16"/>
                <w:szCs w:val="16"/>
              </w:rPr>
            </w:pPr>
            <w:r w:rsidRPr="004675D3">
              <w:rPr>
                <w:rFonts w:ascii="Arial" w:hAnsi="Arial" w:cs="Arial"/>
                <w:sz w:val="16"/>
                <w:szCs w:val="16"/>
              </w:rPr>
              <w:t>Argentina</w:t>
            </w:r>
          </w:p>
        </w:tc>
        <w:tc>
          <w:tcPr>
            <w:tcW w:w="1185" w:type="dxa"/>
            <w:noWrap/>
            <w:hideMark/>
          </w:tcPr>
          <w:p w14:paraId="3AD87683" w14:textId="77777777" w:rsidR="008C5F6E" w:rsidRPr="004675D3" w:rsidRDefault="008C5F6E" w:rsidP="00C84AB5">
            <w:pPr>
              <w:rPr>
                <w:rFonts w:ascii="Arial" w:hAnsi="Arial" w:cs="Arial"/>
                <w:sz w:val="16"/>
                <w:szCs w:val="16"/>
                <w:u w:val="single"/>
              </w:rPr>
            </w:pPr>
            <w:hyperlink r:id="rId39" w:history="1">
              <w:r w:rsidRPr="004675D3">
                <w:rPr>
                  <w:rStyle w:val="Hyperlink"/>
                  <w:rFonts w:ascii="Arial" w:hAnsi="Arial" w:cs="Arial"/>
                  <w:sz w:val="16"/>
                  <w:szCs w:val="16"/>
                </w:rPr>
                <w:t>link</w:t>
              </w:r>
            </w:hyperlink>
          </w:p>
        </w:tc>
      </w:tr>
      <w:tr w:rsidR="008C5F6E" w:rsidRPr="004675D3" w14:paraId="332B4D3F" w14:textId="77777777" w:rsidTr="00C84AB5">
        <w:trPr>
          <w:trHeight w:val="225"/>
        </w:trPr>
        <w:tc>
          <w:tcPr>
            <w:tcW w:w="3970" w:type="dxa"/>
            <w:noWrap/>
            <w:hideMark/>
          </w:tcPr>
          <w:p w14:paraId="56FF0E75" w14:textId="77777777" w:rsidR="008C5F6E" w:rsidRPr="004675D3" w:rsidRDefault="008C5F6E" w:rsidP="00C84AB5">
            <w:pPr>
              <w:rPr>
                <w:rFonts w:ascii="Arial" w:hAnsi="Arial" w:cs="Arial"/>
                <w:sz w:val="16"/>
                <w:szCs w:val="16"/>
              </w:rPr>
            </w:pPr>
            <w:r w:rsidRPr="004675D3">
              <w:rPr>
                <w:rFonts w:ascii="Arial" w:hAnsi="Arial" w:cs="Arial"/>
                <w:sz w:val="16"/>
                <w:szCs w:val="16"/>
              </w:rPr>
              <w:t>Scaling up EU</w:t>
            </w:r>
          </w:p>
        </w:tc>
        <w:tc>
          <w:tcPr>
            <w:tcW w:w="2137" w:type="dxa"/>
            <w:noWrap/>
            <w:hideMark/>
          </w:tcPr>
          <w:p w14:paraId="11DA8130"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069ACA62" w14:textId="77777777" w:rsidR="008C5F6E" w:rsidRPr="004675D3" w:rsidRDefault="008C5F6E" w:rsidP="00C84AB5">
            <w:pPr>
              <w:rPr>
                <w:rFonts w:ascii="Arial" w:hAnsi="Arial" w:cs="Arial"/>
                <w:sz w:val="16"/>
                <w:szCs w:val="16"/>
              </w:rPr>
            </w:pPr>
            <w:r w:rsidRPr="004675D3">
              <w:rPr>
                <w:rFonts w:ascii="Arial" w:hAnsi="Arial" w:cs="Arial"/>
                <w:sz w:val="16"/>
                <w:szCs w:val="16"/>
              </w:rPr>
              <w:t>EU</w:t>
            </w:r>
          </w:p>
        </w:tc>
        <w:tc>
          <w:tcPr>
            <w:tcW w:w="1185" w:type="dxa"/>
            <w:noWrap/>
            <w:hideMark/>
          </w:tcPr>
          <w:p w14:paraId="7B52D110" w14:textId="77777777" w:rsidR="008C5F6E" w:rsidRPr="004675D3" w:rsidRDefault="008C5F6E" w:rsidP="00C84AB5">
            <w:pPr>
              <w:rPr>
                <w:rFonts w:ascii="Arial" w:hAnsi="Arial" w:cs="Arial"/>
                <w:sz w:val="16"/>
                <w:szCs w:val="16"/>
                <w:u w:val="single"/>
              </w:rPr>
            </w:pPr>
            <w:hyperlink r:id="rId40" w:history="1">
              <w:r w:rsidRPr="004675D3">
                <w:rPr>
                  <w:rStyle w:val="Hyperlink"/>
                  <w:rFonts w:ascii="Arial" w:hAnsi="Arial" w:cs="Arial"/>
                  <w:sz w:val="16"/>
                  <w:szCs w:val="16"/>
                </w:rPr>
                <w:t>link</w:t>
              </w:r>
            </w:hyperlink>
          </w:p>
        </w:tc>
      </w:tr>
      <w:tr w:rsidR="008C5F6E" w:rsidRPr="004675D3" w14:paraId="44A64EA6" w14:textId="77777777" w:rsidTr="00C84AB5">
        <w:trPr>
          <w:trHeight w:val="225"/>
        </w:trPr>
        <w:tc>
          <w:tcPr>
            <w:tcW w:w="3970" w:type="dxa"/>
            <w:noWrap/>
            <w:hideMark/>
          </w:tcPr>
          <w:p w14:paraId="1F3F3C3C" w14:textId="77777777" w:rsidR="008C5F6E" w:rsidRPr="004675D3" w:rsidRDefault="008C5F6E" w:rsidP="00C84AB5">
            <w:pPr>
              <w:rPr>
                <w:rFonts w:ascii="Arial" w:hAnsi="Arial" w:cs="Arial"/>
                <w:sz w:val="16"/>
                <w:szCs w:val="16"/>
              </w:rPr>
            </w:pPr>
            <w:r w:rsidRPr="004675D3">
              <w:rPr>
                <w:rFonts w:ascii="Arial" w:hAnsi="Arial" w:cs="Arial"/>
                <w:sz w:val="16"/>
                <w:szCs w:val="16"/>
              </w:rPr>
              <w:t>Scaling up Indonesia</w:t>
            </w:r>
          </w:p>
        </w:tc>
        <w:tc>
          <w:tcPr>
            <w:tcW w:w="2137" w:type="dxa"/>
            <w:noWrap/>
            <w:hideMark/>
          </w:tcPr>
          <w:p w14:paraId="57F6952C"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29C5AED9" w14:textId="77777777" w:rsidR="008C5F6E" w:rsidRPr="004675D3" w:rsidRDefault="008C5F6E" w:rsidP="00C84AB5">
            <w:pPr>
              <w:rPr>
                <w:rFonts w:ascii="Arial" w:hAnsi="Arial" w:cs="Arial"/>
                <w:sz w:val="16"/>
                <w:szCs w:val="16"/>
              </w:rPr>
            </w:pPr>
            <w:r w:rsidRPr="004675D3">
              <w:rPr>
                <w:rFonts w:ascii="Arial" w:hAnsi="Arial" w:cs="Arial"/>
                <w:sz w:val="16"/>
                <w:szCs w:val="16"/>
              </w:rPr>
              <w:t>Indonesia</w:t>
            </w:r>
          </w:p>
        </w:tc>
        <w:tc>
          <w:tcPr>
            <w:tcW w:w="1185" w:type="dxa"/>
            <w:noWrap/>
            <w:hideMark/>
          </w:tcPr>
          <w:p w14:paraId="1FD189F5" w14:textId="77777777" w:rsidR="008C5F6E" w:rsidRPr="004675D3" w:rsidRDefault="008C5F6E" w:rsidP="00C84AB5">
            <w:pPr>
              <w:rPr>
                <w:rFonts w:ascii="Arial" w:hAnsi="Arial" w:cs="Arial"/>
                <w:sz w:val="16"/>
                <w:szCs w:val="16"/>
                <w:u w:val="single"/>
              </w:rPr>
            </w:pPr>
            <w:hyperlink r:id="rId41" w:history="1">
              <w:r w:rsidRPr="004675D3">
                <w:rPr>
                  <w:rStyle w:val="Hyperlink"/>
                  <w:rFonts w:ascii="Arial" w:hAnsi="Arial" w:cs="Arial"/>
                  <w:sz w:val="16"/>
                  <w:szCs w:val="16"/>
                </w:rPr>
                <w:t>link</w:t>
              </w:r>
            </w:hyperlink>
          </w:p>
        </w:tc>
      </w:tr>
      <w:tr w:rsidR="008C5F6E" w:rsidRPr="004675D3" w14:paraId="1CDAF6F5" w14:textId="77777777" w:rsidTr="00C84AB5">
        <w:trPr>
          <w:trHeight w:val="225"/>
        </w:trPr>
        <w:tc>
          <w:tcPr>
            <w:tcW w:w="3970" w:type="dxa"/>
            <w:noWrap/>
            <w:hideMark/>
          </w:tcPr>
          <w:p w14:paraId="3B241D8E" w14:textId="77777777" w:rsidR="008C5F6E" w:rsidRPr="004675D3" w:rsidRDefault="008C5F6E" w:rsidP="00C84AB5">
            <w:pPr>
              <w:rPr>
                <w:rFonts w:ascii="Arial" w:hAnsi="Arial" w:cs="Arial"/>
                <w:sz w:val="16"/>
                <w:szCs w:val="16"/>
              </w:rPr>
            </w:pPr>
            <w:r w:rsidRPr="004675D3">
              <w:rPr>
                <w:rFonts w:ascii="Arial" w:hAnsi="Arial" w:cs="Arial"/>
                <w:sz w:val="16"/>
                <w:szCs w:val="16"/>
              </w:rPr>
              <w:t>Scaling up South Africa</w:t>
            </w:r>
          </w:p>
        </w:tc>
        <w:tc>
          <w:tcPr>
            <w:tcW w:w="2137" w:type="dxa"/>
            <w:noWrap/>
            <w:hideMark/>
          </w:tcPr>
          <w:p w14:paraId="738EB5F6"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44E7955A" w14:textId="77777777" w:rsidR="008C5F6E" w:rsidRPr="004675D3" w:rsidRDefault="008C5F6E" w:rsidP="00C84AB5">
            <w:pPr>
              <w:rPr>
                <w:rFonts w:ascii="Arial" w:hAnsi="Arial" w:cs="Arial"/>
                <w:sz w:val="16"/>
                <w:szCs w:val="16"/>
              </w:rPr>
            </w:pPr>
            <w:r w:rsidRPr="004675D3">
              <w:rPr>
                <w:rFonts w:ascii="Arial" w:hAnsi="Arial" w:cs="Arial"/>
                <w:sz w:val="16"/>
                <w:szCs w:val="16"/>
              </w:rPr>
              <w:t>South Africa</w:t>
            </w:r>
          </w:p>
        </w:tc>
        <w:tc>
          <w:tcPr>
            <w:tcW w:w="1185" w:type="dxa"/>
            <w:noWrap/>
            <w:hideMark/>
          </w:tcPr>
          <w:p w14:paraId="0359889F" w14:textId="77777777" w:rsidR="008C5F6E" w:rsidRPr="004675D3" w:rsidRDefault="008C5F6E" w:rsidP="00C84AB5">
            <w:pPr>
              <w:rPr>
                <w:rFonts w:ascii="Arial" w:hAnsi="Arial" w:cs="Arial"/>
                <w:sz w:val="16"/>
                <w:szCs w:val="16"/>
                <w:u w:val="single"/>
              </w:rPr>
            </w:pPr>
            <w:hyperlink r:id="rId42" w:history="1">
              <w:r w:rsidRPr="004675D3">
                <w:rPr>
                  <w:rStyle w:val="Hyperlink"/>
                  <w:rFonts w:ascii="Arial" w:hAnsi="Arial" w:cs="Arial"/>
                  <w:sz w:val="16"/>
                  <w:szCs w:val="16"/>
                </w:rPr>
                <w:t>link</w:t>
              </w:r>
            </w:hyperlink>
          </w:p>
        </w:tc>
      </w:tr>
      <w:tr w:rsidR="008C5F6E" w:rsidRPr="004675D3" w14:paraId="155727D8" w14:textId="77777777" w:rsidTr="00C84AB5">
        <w:trPr>
          <w:trHeight w:val="225"/>
        </w:trPr>
        <w:tc>
          <w:tcPr>
            <w:tcW w:w="3970" w:type="dxa"/>
            <w:noWrap/>
            <w:hideMark/>
          </w:tcPr>
          <w:p w14:paraId="1740DB84" w14:textId="77777777" w:rsidR="008C5F6E" w:rsidRPr="004675D3" w:rsidRDefault="008C5F6E" w:rsidP="00C84AB5">
            <w:pPr>
              <w:rPr>
                <w:rFonts w:ascii="Arial" w:hAnsi="Arial" w:cs="Arial"/>
                <w:sz w:val="16"/>
                <w:szCs w:val="16"/>
              </w:rPr>
            </w:pPr>
            <w:r w:rsidRPr="004675D3">
              <w:rPr>
                <w:rFonts w:ascii="Arial" w:hAnsi="Arial" w:cs="Arial"/>
                <w:sz w:val="16"/>
                <w:szCs w:val="16"/>
              </w:rPr>
              <w:t>Scaling up Turkey</w:t>
            </w:r>
          </w:p>
        </w:tc>
        <w:tc>
          <w:tcPr>
            <w:tcW w:w="2137" w:type="dxa"/>
            <w:noWrap/>
            <w:hideMark/>
          </w:tcPr>
          <w:p w14:paraId="2E320782"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5056D4AD" w14:textId="77777777" w:rsidR="008C5F6E" w:rsidRPr="004675D3" w:rsidRDefault="008C5F6E" w:rsidP="00C84AB5">
            <w:pPr>
              <w:rPr>
                <w:rFonts w:ascii="Arial" w:hAnsi="Arial" w:cs="Arial"/>
                <w:sz w:val="16"/>
                <w:szCs w:val="16"/>
              </w:rPr>
            </w:pPr>
            <w:r w:rsidRPr="004675D3">
              <w:rPr>
                <w:rFonts w:ascii="Arial" w:hAnsi="Arial" w:cs="Arial"/>
                <w:sz w:val="16"/>
                <w:szCs w:val="16"/>
              </w:rPr>
              <w:t>Turkey</w:t>
            </w:r>
          </w:p>
        </w:tc>
        <w:tc>
          <w:tcPr>
            <w:tcW w:w="1185" w:type="dxa"/>
            <w:noWrap/>
            <w:hideMark/>
          </w:tcPr>
          <w:p w14:paraId="2E29D182" w14:textId="77777777" w:rsidR="008C5F6E" w:rsidRPr="004675D3" w:rsidRDefault="008C5F6E" w:rsidP="00C84AB5">
            <w:pPr>
              <w:rPr>
                <w:rFonts w:ascii="Arial" w:hAnsi="Arial" w:cs="Arial"/>
                <w:sz w:val="16"/>
                <w:szCs w:val="16"/>
                <w:u w:val="single"/>
              </w:rPr>
            </w:pPr>
            <w:hyperlink r:id="rId43" w:history="1">
              <w:r w:rsidRPr="004675D3">
                <w:rPr>
                  <w:rStyle w:val="Hyperlink"/>
                  <w:rFonts w:ascii="Arial" w:hAnsi="Arial" w:cs="Arial"/>
                  <w:sz w:val="16"/>
                  <w:szCs w:val="16"/>
                </w:rPr>
                <w:t>link</w:t>
              </w:r>
            </w:hyperlink>
          </w:p>
        </w:tc>
      </w:tr>
      <w:tr w:rsidR="008C5F6E" w:rsidRPr="004675D3" w14:paraId="7067217C" w14:textId="77777777" w:rsidTr="00C84AB5">
        <w:trPr>
          <w:trHeight w:val="225"/>
        </w:trPr>
        <w:tc>
          <w:tcPr>
            <w:tcW w:w="3970" w:type="dxa"/>
            <w:noWrap/>
            <w:hideMark/>
          </w:tcPr>
          <w:p w14:paraId="4BA0451C" w14:textId="77777777" w:rsidR="008C5F6E" w:rsidRPr="004675D3" w:rsidRDefault="008C5F6E" w:rsidP="00C84AB5">
            <w:pPr>
              <w:rPr>
                <w:rFonts w:ascii="Arial" w:hAnsi="Arial" w:cs="Arial"/>
                <w:sz w:val="16"/>
                <w:szCs w:val="16"/>
              </w:rPr>
            </w:pPr>
            <w:r w:rsidRPr="004675D3">
              <w:rPr>
                <w:rFonts w:ascii="Arial" w:hAnsi="Arial" w:cs="Arial"/>
                <w:sz w:val="16"/>
                <w:szCs w:val="16"/>
              </w:rPr>
              <w:t>State Energy Efficiency Policy</w:t>
            </w:r>
          </w:p>
        </w:tc>
        <w:tc>
          <w:tcPr>
            <w:tcW w:w="2137" w:type="dxa"/>
            <w:noWrap/>
            <w:hideMark/>
          </w:tcPr>
          <w:p w14:paraId="5E88337D" w14:textId="77777777" w:rsidR="008C5F6E" w:rsidRPr="004675D3" w:rsidRDefault="008C5F6E" w:rsidP="00C84AB5">
            <w:pPr>
              <w:rPr>
                <w:rFonts w:ascii="Arial" w:hAnsi="Arial" w:cs="Arial"/>
                <w:sz w:val="16"/>
                <w:szCs w:val="16"/>
              </w:rPr>
            </w:pPr>
            <w:r w:rsidRPr="004675D3">
              <w:rPr>
                <w:rFonts w:ascii="Arial" w:hAnsi="Arial" w:cs="Arial"/>
                <w:sz w:val="16"/>
                <w:szCs w:val="16"/>
              </w:rPr>
              <w:t>Efficiency</w:t>
            </w:r>
          </w:p>
        </w:tc>
        <w:tc>
          <w:tcPr>
            <w:tcW w:w="1724" w:type="dxa"/>
            <w:noWrap/>
            <w:hideMark/>
          </w:tcPr>
          <w:p w14:paraId="2A2C26F7" w14:textId="77777777" w:rsidR="008C5F6E" w:rsidRPr="004675D3" w:rsidRDefault="008C5F6E" w:rsidP="00C84AB5">
            <w:pPr>
              <w:rPr>
                <w:rFonts w:ascii="Arial" w:hAnsi="Arial" w:cs="Arial"/>
                <w:sz w:val="16"/>
                <w:szCs w:val="16"/>
              </w:rPr>
            </w:pPr>
            <w:r w:rsidRPr="004675D3">
              <w:rPr>
                <w:rFonts w:ascii="Arial" w:hAnsi="Arial" w:cs="Arial"/>
                <w:sz w:val="16"/>
                <w:szCs w:val="16"/>
              </w:rPr>
              <w:t>US</w:t>
            </w:r>
          </w:p>
        </w:tc>
        <w:tc>
          <w:tcPr>
            <w:tcW w:w="1185" w:type="dxa"/>
            <w:noWrap/>
            <w:hideMark/>
          </w:tcPr>
          <w:p w14:paraId="7ADFA26D" w14:textId="77777777" w:rsidR="008C5F6E" w:rsidRPr="004675D3" w:rsidRDefault="008C5F6E" w:rsidP="00C84AB5">
            <w:pPr>
              <w:rPr>
                <w:rFonts w:ascii="Arial" w:hAnsi="Arial" w:cs="Arial"/>
                <w:sz w:val="16"/>
                <w:szCs w:val="16"/>
                <w:u w:val="single"/>
              </w:rPr>
            </w:pPr>
            <w:hyperlink r:id="rId44" w:history="1">
              <w:r w:rsidRPr="004675D3">
                <w:rPr>
                  <w:rStyle w:val="Hyperlink"/>
                  <w:rFonts w:ascii="Arial" w:hAnsi="Arial" w:cs="Arial"/>
                  <w:sz w:val="16"/>
                  <w:szCs w:val="16"/>
                </w:rPr>
                <w:t>link</w:t>
              </w:r>
            </w:hyperlink>
          </w:p>
        </w:tc>
      </w:tr>
      <w:tr w:rsidR="008C5F6E" w:rsidRPr="004675D3" w14:paraId="3D5426DD" w14:textId="77777777" w:rsidTr="00C84AB5">
        <w:trPr>
          <w:trHeight w:val="225"/>
        </w:trPr>
        <w:tc>
          <w:tcPr>
            <w:tcW w:w="3970" w:type="dxa"/>
            <w:noWrap/>
            <w:hideMark/>
          </w:tcPr>
          <w:p w14:paraId="3F7C95D9" w14:textId="77777777" w:rsidR="008C5F6E" w:rsidRPr="004675D3" w:rsidRDefault="008C5F6E" w:rsidP="00C84AB5">
            <w:pPr>
              <w:rPr>
                <w:rFonts w:ascii="Arial" w:hAnsi="Arial" w:cs="Arial"/>
                <w:sz w:val="16"/>
                <w:szCs w:val="16"/>
              </w:rPr>
            </w:pPr>
            <w:r w:rsidRPr="004675D3">
              <w:rPr>
                <w:rFonts w:ascii="Arial" w:hAnsi="Arial" w:cs="Arial"/>
                <w:sz w:val="16"/>
                <w:szCs w:val="16"/>
              </w:rPr>
              <w:t>State incentives of RE &amp; EE</w:t>
            </w:r>
          </w:p>
        </w:tc>
        <w:tc>
          <w:tcPr>
            <w:tcW w:w="2137" w:type="dxa"/>
            <w:noWrap/>
            <w:hideMark/>
          </w:tcPr>
          <w:p w14:paraId="298D6CCA" w14:textId="77777777" w:rsidR="008C5F6E" w:rsidRPr="004675D3" w:rsidRDefault="008C5F6E" w:rsidP="00C84AB5">
            <w:pPr>
              <w:rPr>
                <w:rFonts w:ascii="Arial" w:hAnsi="Arial" w:cs="Arial"/>
                <w:sz w:val="16"/>
                <w:szCs w:val="16"/>
              </w:rPr>
            </w:pPr>
            <w:r w:rsidRPr="004675D3">
              <w:rPr>
                <w:rFonts w:ascii="Arial" w:hAnsi="Arial" w:cs="Arial"/>
                <w:sz w:val="16"/>
                <w:szCs w:val="16"/>
              </w:rPr>
              <w:t>Renewables/Efficiency</w:t>
            </w:r>
          </w:p>
        </w:tc>
        <w:tc>
          <w:tcPr>
            <w:tcW w:w="1724" w:type="dxa"/>
            <w:noWrap/>
            <w:hideMark/>
          </w:tcPr>
          <w:p w14:paraId="31935BBF" w14:textId="77777777" w:rsidR="008C5F6E" w:rsidRPr="004675D3" w:rsidRDefault="008C5F6E" w:rsidP="00C84AB5">
            <w:pPr>
              <w:rPr>
                <w:rFonts w:ascii="Arial" w:hAnsi="Arial" w:cs="Arial"/>
                <w:sz w:val="16"/>
                <w:szCs w:val="16"/>
              </w:rPr>
            </w:pPr>
            <w:r w:rsidRPr="004675D3">
              <w:rPr>
                <w:rFonts w:ascii="Arial" w:hAnsi="Arial" w:cs="Arial"/>
                <w:sz w:val="16"/>
                <w:szCs w:val="16"/>
              </w:rPr>
              <w:t>US</w:t>
            </w:r>
          </w:p>
        </w:tc>
        <w:tc>
          <w:tcPr>
            <w:tcW w:w="1185" w:type="dxa"/>
            <w:noWrap/>
            <w:hideMark/>
          </w:tcPr>
          <w:p w14:paraId="7D338A78" w14:textId="77777777" w:rsidR="008C5F6E" w:rsidRPr="004675D3" w:rsidRDefault="008C5F6E" w:rsidP="00C84AB5">
            <w:pPr>
              <w:rPr>
                <w:rFonts w:ascii="Arial" w:hAnsi="Arial" w:cs="Arial"/>
                <w:sz w:val="16"/>
                <w:szCs w:val="16"/>
                <w:u w:val="single"/>
              </w:rPr>
            </w:pPr>
            <w:hyperlink r:id="rId45" w:history="1">
              <w:r w:rsidRPr="004675D3">
                <w:rPr>
                  <w:rStyle w:val="Hyperlink"/>
                  <w:rFonts w:ascii="Arial" w:hAnsi="Arial" w:cs="Arial"/>
                  <w:sz w:val="16"/>
                  <w:szCs w:val="16"/>
                </w:rPr>
                <w:t>link</w:t>
              </w:r>
            </w:hyperlink>
          </w:p>
        </w:tc>
      </w:tr>
      <w:tr w:rsidR="008C5F6E" w:rsidRPr="004675D3" w14:paraId="2F1DDA7E" w14:textId="77777777" w:rsidTr="00C84AB5">
        <w:trPr>
          <w:trHeight w:val="225"/>
        </w:trPr>
        <w:tc>
          <w:tcPr>
            <w:tcW w:w="3970" w:type="dxa"/>
            <w:noWrap/>
            <w:hideMark/>
          </w:tcPr>
          <w:p w14:paraId="6063BD22" w14:textId="77777777" w:rsidR="008C5F6E" w:rsidRPr="004675D3" w:rsidRDefault="008C5F6E" w:rsidP="00C84AB5">
            <w:pPr>
              <w:rPr>
                <w:rFonts w:ascii="Arial" w:hAnsi="Arial" w:cs="Arial"/>
                <w:sz w:val="16"/>
                <w:szCs w:val="16"/>
              </w:rPr>
            </w:pPr>
            <w:r w:rsidRPr="004675D3">
              <w:rPr>
                <w:rFonts w:ascii="Arial" w:hAnsi="Arial" w:cs="Arial"/>
                <w:sz w:val="16"/>
                <w:szCs w:val="16"/>
              </w:rPr>
              <w:t>Transport policy</w:t>
            </w:r>
          </w:p>
        </w:tc>
        <w:tc>
          <w:tcPr>
            <w:tcW w:w="2137" w:type="dxa"/>
            <w:noWrap/>
            <w:hideMark/>
          </w:tcPr>
          <w:p w14:paraId="6D5B9AD0" w14:textId="77777777" w:rsidR="008C5F6E" w:rsidRPr="004675D3" w:rsidRDefault="008C5F6E" w:rsidP="00C84AB5">
            <w:pPr>
              <w:rPr>
                <w:rFonts w:ascii="Arial" w:hAnsi="Arial" w:cs="Arial"/>
                <w:sz w:val="16"/>
                <w:szCs w:val="16"/>
              </w:rPr>
            </w:pPr>
            <w:r w:rsidRPr="004675D3">
              <w:rPr>
                <w:rFonts w:ascii="Arial" w:hAnsi="Arial" w:cs="Arial"/>
                <w:sz w:val="16"/>
                <w:szCs w:val="16"/>
              </w:rPr>
              <w:t>Transport</w:t>
            </w:r>
          </w:p>
        </w:tc>
        <w:tc>
          <w:tcPr>
            <w:tcW w:w="1724" w:type="dxa"/>
            <w:noWrap/>
            <w:hideMark/>
          </w:tcPr>
          <w:p w14:paraId="6E4F191E" w14:textId="77777777" w:rsidR="008C5F6E" w:rsidRPr="004675D3" w:rsidRDefault="008C5F6E" w:rsidP="00C84AB5">
            <w:pPr>
              <w:rPr>
                <w:rFonts w:ascii="Arial" w:hAnsi="Arial" w:cs="Arial"/>
                <w:sz w:val="16"/>
                <w:szCs w:val="16"/>
              </w:rPr>
            </w:pPr>
            <w:r w:rsidRPr="004675D3">
              <w:rPr>
                <w:rFonts w:ascii="Arial" w:hAnsi="Arial" w:cs="Arial"/>
                <w:sz w:val="16"/>
                <w:szCs w:val="16"/>
              </w:rPr>
              <w:t>A few countries</w:t>
            </w:r>
          </w:p>
        </w:tc>
        <w:tc>
          <w:tcPr>
            <w:tcW w:w="1185" w:type="dxa"/>
            <w:noWrap/>
            <w:hideMark/>
          </w:tcPr>
          <w:p w14:paraId="6B8381F7" w14:textId="77777777" w:rsidR="008C5F6E" w:rsidRPr="004675D3" w:rsidRDefault="008C5F6E" w:rsidP="00C84AB5">
            <w:pPr>
              <w:rPr>
                <w:rFonts w:ascii="Arial" w:hAnsi="Arial" w:cs="Arial"/>
                <w:sz w:val="16"/>
                <w:szCs w:val="16"/>
                <w:u w:val="single"/>
              </w:rPr>
            </w:pPr>
            <w:hyperlink r:id="rId46" w:history="1">
              <w:r w:rsidRPr="004675D3">
                <w:rPr>
                  <w:rStyle w:val="Hyperlink"/>
                  <w:rFonts w:ascii="Arial" w:hAnsi="Arial" w:cs="Arial"/>
                  <w:sz w:val="16"/>
                  <w:szCs w:val="16"/>
                </w:rPr>
                <w:t>link</w:t>
              </w:r>
            </w:hyperlink>
          </w:p>
        </w:tc>
      </w:tr>
      <w:tr w:rsidR="008C5F6E" w:rsidRPr="004675D3" w14:paraId="32ED13AF" w14:textId="77777777" w:rsidTr="00C84AB5">
        <w:trPr>
          <w:trHeight w:val="225"/>
        </w:trPr>
        <w:tc>
          <w:tcPr>
            <w:tcW w:w="3970" w:type="dxa"/>
            <w:noWrap/>
            <w:hideMark/>
          </w:tcPr>
          <w:p w14:paraId="2753CDB2" w14:textId="77777777" w:rsidR="008C5F6E" w:rsidRPr="004675D3" w:rsidRDefault="008C5F6E" w:rsidP="00C84AB5">
            <w:pPr>
              <w:rPr>
                <w:rFonts w:ascii="Arial" w:hAnsi="Arial" w:cs="Arial"/>
                <w:sz w:val="16"/>
                <w:szCs w:val="16"/>
              </w:rPr>
            </w:pPr>
            <w:r w:rsidRPr="004675D3">
              <w:rPr>
                <w:rFonts w:ascii="Arial" w:hAnsi="Arial" w:cs="Arial"/>
                <w:sz w:val="16"/>
                <w:szCs w:val="16"/>
              </w:rPr>
              <w:t xml:space="preserve">UNFCCC </w:t>
            </w:r>
            <w:proofErr w:type="spellStart"/>
            <w:r w:rsidRPr="004675D3">
              <w:rPr>
                <w:rFonts w:ascii="Arial" w:hAnsi="Arial" w:cs="Arial"/>
                <w:sz w:val="16"/>
                <w:szCs w:val="16"/>
              </w:rPr>
              <w:t>NatComs</w:t>
            </w:r>
            <w:proofErr w:type="spellEnd"/>
            <w:r w:rsidRPr="004675D3">
              <w:rPr>
                <w:rFonts w:ascii="Arial" w:hAnsi="Arial" w:cs="Arial"/>
                <w:sz w:val="16"/>
                <w:szCs w:val="16"/>
              </w:rPr>
              <w:t xml:space="preserve"> and BURs</w:t>
            </w:r>
          </w:p>
        </w:tc>
        <w:tc>
          <w:tcPr>
            <w:tcW w:w="2137" w:type="dxa"/>
            <w:noWrap/>
            <w:hideMark/>
          </w:tcPr>
          <w:p w14:paraId="5506E8CD"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051DD0BA"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63DD1149" w14:textId="77777777" w:rsidR="008C5F6E" w:rsidRPr="004675D3" w:rsidRDefault="008C5F6E" w:rsidP="00C84AB5">
            <w:pPr>
              <w:rPr>
                <w:rFonts w:ascii="Arial" w:hAnsi="Arial" w:cs="Arial"/>
                <w:sz w:val="16"/>
                <w:szCs w:val="16"/>
                <w:u w:val="single"/>
              </w:rPr>
            </w:pPr>
            <w:hyperlink r:id="rId47" w:history="1">
              <w:r w:rsidRPr="004675D3">
                <w:rPr>
                  <w:rStyle w:val="Hyperlink"/>
                  <w:rFonts w:ascii="Arial" w:hAnsi="Arial" w:cs="Arial"/>
                  <w:sz w:val="16"/>
                  <w:szCs w:val="16"/>
                </w:rPr>
                <w:t>link</w:t>
              </w:r>
            </w:hyperlink>
          </w:p>
        </w:tc>
      </w:tr>
      <w:tr w:rsidR="008C5F6E" w:rsidRPr="004675D3" w14:paraId="6BF10F8D" w14:textId="77777777" w:rsidTr="00C84AB5">
        <w:trPr>
          <w:trHeight w:val="225"/>
        </w:trPr>
        <w:tc>
          <w:tcPr>
            <w:tcW w:w="3970" w:type="dxa"/>
            <w:noWrap/>
            <w:hideMark/>
          </w:tcPr>
          <w:p w14:paraId="4C18E535" w14:textId="77777777" w:rsidR="008C5F6E" w:rsidRPr="004675D3" w:rsidRDefault="008C5F6E" w:rsidP="00C84AB5">
            <w:pPr>
              <w:rPr>
                <w:rFonts w:ascii="Arial" w:hAnsi="Arial" w:cs="Arial"/>
                <w:sz w:val="16"/>
                <w:szCs w:val="16"/>
              </w:rPr>
            </w:pPr>
            <w:r w:rsidRPr="004675D3">
              <w:rPr>
                <w:rFonts w:ascii="Arial" w:hAnsi="Arial" w:cs="Arial"/>
                <w:sz w:val="16"/>
                <w:szCs w:val="16"/>
              </w:rPr>
              <w:t>World Bank INDC data</w:t>
            </w:r>
          </w:p>
        </w:tc>
        <w:tc>
          <w:tcPr>
            <w:tcW w:w="2137" w:type="dxa"/>
            <w:noWrap/>
            <w:hideMark/>
          </w:tcPr>
          <w:p w14:paraId="721E0AC7" w14:textId="77777777" w:rsidR="008C5F6E" w:rsidRPr="004675D3" w:rsidRDefault="008C5F6E" w:rsidP="00C84AB5">
            <w:pPr>
              <w:rPr>
                <w:rFonts w:ascii="Arial" w:hAnsi="Arial" w:cs="Arial"/>
                <w:sz w:val="16"/>
                <w:szCs w:val="16"/>
              </w:rPr>
            </w:pPr>
            <w:r w:rsidRPr="004675D3">
              <w:rPr>
                <w:rFonts w:ascii="Arial" w:hAnsi="Arial" w:cs="Arial"/>
                <w:sz w:val="16"/>
                <w:szCs w:val="16"/>
              </w:rPr>
              <w:t>NDCs</w:t>
            </w:r>
          </w:p>
        </w:tc>
        <w:tc>
          <w:tcPr>
            <w:tcW w:w="1724" w:type="dxa"/>
            <w:noWrap/>
            <w:hideMark/>
          </w:tcPr>
          <w:p w14:paraId="05905D0C"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0E4E4671" w14:textId="77777777" w:rsidR="008C5F6E" w:rsidRPr="004675D3" w:rsidRDefault="008C5F6E" w:rsidP="00C84AB5">
            <w:pPr>
              <w:rPr>
                <w:rFonts w:ascii="Arial" w:hAnsi="Arial" w:cs="Arial"/>
                <w:sz w:val="16"/>
                <w:szCs w:val="16"/>
                <w:u w:val="single"/>
              </w:rPr>
            </w:pPr>
            <w:hyperlink r:id="rId48" w:history="1">
              <w:r w:rsidRPr="004675D3">
                <w:rPr>
                  <w:rStyle w:val="Hyperlink"/>
                  <w:rFonts w:ascii="Arial" w:hAnsi="Arial" w:cs="Arial"/>
                  <w:sz w:val="16"/>
                  <w:szCs w:val="16"/>
                </w:rPr>
                <w:t>link</w:t>
              </w:r>
            </w:hyperlink>
          </w:p>
        </w:tc>
      </w:tr>
      <w:tr w:rsidR="008C5F6E" w:rsidRPr="004675D3" w14:paraId="2C885068" w14:textId="77777777" w:rsidTr="00C84AB5">
        <w:trPr>
          <w:trHeight w:val="225"/>
        </w:trPr>
        <w:tc>
          <w:tcPr>
            <w:tcW w:w="3970" w:type="dxa"/>
            <w:noWrap/>
            <w:hideMark/>
          </w:tcPr>
          <w:p w14:paraId="19EE7E66" w14:textId="77777777" w:rsidR="008C5F6E" w:rsidRPr="004675D3" w:rsidRDefault="008C5F6E" w:rsidP="00C84AB5">
            <w:pPr>
              <w:rPr>
                <w:rFonts w:ascii="Arial" w:hAnsi="Arial" w:cs="Arial"/>
                <w:sz w:val="16"/>
                <w:szCs w:val="16"/>
              </w:rPr>
            </w:pPr>
            <w:r w:rsidRPr="004675D3">
              <w:rPr>
                <w:rFonts w:ascii="Arial" w:hAnsi="Arial" w:cs="Arial"/>
                <w:sz w:val="16"/>
                <w:szCs w:val="16"/>
              </w:rPr>
              <w:t>WTO Environmental Database</w:t>
            </w:r>
          </w:p>
        </w:tc>
        <w:tc>
          <w:tcPr>
            <w:tcW w:w="2137" w:type="dxa"/>
            <w:noWrap/>
            <w:hideMark/>
          </w:tcPr>
          <w:p w14:paraId="6D73D15D" w14:textId="77777777" w:rsidR="008C5F6E" w:rsidRPr="004675D3" w:rsidRDefault="008C5F6E" w:rsidP="00C84AB5">
            <w:pPr>
              <w:rPr>
                <w:rFonts w:ascii="Arial" w:hAnsi="Arial" w:cs="Arial"/>
                <w:sz w:val="16"/>
                <w:szCs w:val="16"/>
              </w:rPr>
            </w:pPr>
            <w:r w:rsidRPr="004675D3">
              <w:rPr>
                <w:rFonts w:ascii="Arial" w:hAnsi="Arial" w:cs="Arial"/>
                <w:sz w:val="16"/>
                <w:szCs w:val="16"/>
              </w:rPr>
              <w:t>Economy-wide</w:t>
            </w:r>
          </w:p>
        </w:tc>
        <w:tc>
          <w:tcPr>
            <w:tcW w:w="1724" w:type="dxa"/>
            <w:noWrap/>
            <w:hideMark/>
          </w:tcPr>
          <w:p w14:paraId="0F33D37A" w14:textId="77777777" w:rsidR="008C5F6E" w:rsidRPr="004675D3" w:rsidRDefault="008C5F6E" w:rsidP="00C84AB5">
            <w:pPr>
              <w:rPr>
                <w:rFonts w:ascii="Arial" w:hAnsi="Arial" w:cs="Arial"/>
                <w:sz w:val="16"/>
                <w:szCs w:val="16"/>
              </w:rPr>
            </w:pPr>
            <w:r w:rsidRPr="004675D3">
              <w:rPr>
                <w:rFonts w:ascii="Arial" w:hAnsi="Arial" w:cs="Arial"/>
                <w:sz w:val="16"/>
                <w:szCs w:val="16"/>
              </w:rPr>
              <w:t>Worldwide</w:t>
            </w:r>
          </w:p>
        </w:tc>
        <w:tc>
          <w:tcPr>
            <w:tcW w:w="1185" w:type="dxa"/>
            <w:noWrap/>
            <w:hideMark/>
          </w:tcPr>
          <w:p w14:paraId="52449801" w14:textId="77777777" w:rsidR="008C5F6E" w:rsidRPr="004675D3" w:rsidRDefault="008C5F6E" w:rsidP="00C84AB5">
            <w:pPr>
              <w:rPr>
                <w:rFonts w:ascii="Arial" w:hAnsi="Arial" w:cs="Arial"/>
                <w:sz w:val="16"/>
                <w:szCs w:val="16"/>
                <w:u w:val="single"/>
              </w:rPr>
            </w:pPr>
            <w:hyperlink r:id="rId49" w:history="1">
              <w:r w:rsidRPr="004675D3">
                <w:rPr>
                  <w:rStyle w:val="Hyperlink"/>
                  <w:rFonts w:ascii="Arial" w:hAnsi="Arial" w:cs="Arial"/>
                  <w:sz w:val="16"/>
                  <w:szCs w:val="16"/>
                </w:rPr>
                <w:t>link</w:t>
              </w:r>
            </w:hyperlink>
          </w:p>
        </w:tc>
      </w:tr>
    </w:tbl>
    <w:p w14:paraId="72925807" w14:textId="46E38631" w:rsidR="008C5F6E" w:rsidRDefault="008C5F6E" w:rsidP="00314B73"/>
    <w:p w14:paraId="2BF0D050" w14:textId="77777777" w:rsidR="008C5F6E" w:rsidRDefault="008C5F6E">
      <w:pPr>
        <w:spacing w:line="259" w:lineRule="auto"/>
        <w:jc w:val="left"/>
        <w:rPr>
          <w:rFonts w:ascii="Arial" w:eastAsiaTheme="majorEastAsia" w:hAnsi="Arial" w:cs="Arial"/>
          <w:color w:val="5B9BD5" w:themeColor="accent1"/>
          <w:sz w:val="32"/>
          <w:szCs w:val="32"/>
        </w:rPr>
      </w:pPr>
      <w:r>
        <w:rPr>
          <w:rFonts w:ascii="Arial" w:hAnsi="Arial" w:cs="Arial"/>
        </w:rPr>
        <w:br w:type="page"/>
      </w:r>
    </w:p>
    <w:p w14:paraId="73BB753D" w14:textId="7347FE39" w:rsidR="00601256" w:rsidRPr="004675D3" w:rsidRDefault="008C5F6E" w:rsidP="00833224">
      <w:pPr>
        <w:pStyle w:val="Heading1"/>
        <w:numPr>
          <w:ilvl w:val="0"/>
          <w:numId w:val="0"/>
        </w:numPr>
        <w:ind w:left="432"/>
        <w:rPr>
          <w:rFonts w:ascii="Arial" w:hAnsi="Arial" w:cs="Arial"/>
        </w:rPr>
      </w:pPr>
      <w:bookmarkStart w:id="3" w:name="_Toc84443080"/>
      <w:r>
        <w:rPr>
          <w:rFonts w:ascii="Arial" w:hAnsi="Arial" w:cs="Arial"/>
        </w:rPr>
        <w:lastRenderedPageBreak/>
        <w:t xml:space="preserve">S2 </w:t>
      </w:r>
      <w:r w:rsidR="00833224" w:rsidRPr="004675D3">
        <w:rPr>
          <w:rFonts w:ascii="Arial" w:hAnsi="Arial" w:cs="Arial"/>
        </w:rPr>
        <w:t>Policy matrix</w:t>
      </w:r>
      <w:r w:rsidR="00F81CCD" w:rsidRPr="004675D3">
        <w:rPr>
          <w:rFonts w:ascii="Arial" w:hAnsi="Arial" w:cs="Arial"/>
        </w:rPr>
        <w:t xml:space="preserve"> definition</w:t>
      </w:r>
      <w:r w:rsidR="004675D3" w:rsidRPr="004675D3">
        <w:rPr>
          <w:rFonts w:ascii="Arial" w:hAnsi="Arial" w:cs="Arial"/>
        </w:rPr>
        <w:t xml:space="preserve"> and policy categori</w:t>
      </w:r>
      <w:r w:rsidR="004675D3">
        <w:rPr>
          <w:rFonts w:ascii="Arial" w:hAnsi="Arial" w:cs="Arial"/>
        </w:rPr>
        <w:t>s</w:t>
      </w:r>
      <w:r w:rsidR="004675D3" w:rsidRPr="004675D3">
        <w:rPr>
          <w:rFonts w:ascii="Arial" w:hAnsi="Arial" w:cs="Arial"/>
        </w:rPr>
        <w:t>ation</w:t>
      </w:r>
      <w:bookmarkEnd w:id="3"/>
    </w:p>
    <w:p w14:paraId="4233C0DE" w14:textId="4530005C" w:rsidR="00833224" w:rsidRPr="004675D3" w:rsidRDefault="00833224" w:rsidP="00833224">
      <w:pPr>
        <w:rPr>
          <w:rFonts w:ascii="Arial" w:hAnsi="Arial" w:cs="Arial"/>
        </w:rPr>
      </w:pPr>
      <w:r w:rsidRPr="004675D3">
        <w:rPr>
          <w:rFonts w:ascii="Arial" w:hAnsi="Arial" w:cs="Arial"/>
        </w:rPr>
        <w:t>This section is structured according to sectors in the policy matrix. It provides an overview of the policy options and the reasoning behind adding them to the policy matrix, together with some examples. The matrix supports the identification of policy gaps across sectors and policy areas, it includes policy options which are recognized as leading to direct or indirect emissions</w:t>
      </w:r>
      <w:r w:rsidR="007B3BB2" w:rsidRPr="004675D3">
        <w:rPr>
          <w:rFonts w:ascii="Arial" w:hAnsi="Arial" w:cs="Arial"/>
        </w:rPr>
        <w:t xml:space="preserve"> reductions</w:t>
      </w:r>
      <w:r w:rsidRPr="004675D3">
        <w:rPr>
          <w:rFonts w:ascii="Arial" w:hAnsi="Arial" w:cs="Arial"/>
        </w:rPr>
        <w:t xml:space="preserve">. </w:t>
      </w:r>
      <w:r w:rsidR="0053159C" w:rsidRPr="004675D3">
        <w:rPr>
          <w:rFonts w:ascii="Arial" w:hAnsi="Arial" w:cs="Arial"/>
        </w:rPr>
        <w:t>The developed matrix contains 50 policy options distributed across six sectors and five mitigation areas. Information and education policies are excluded, as their contribution to emissions reductions is often mediated by the identified policy options.</w:t>
      </w:r>
    </w:p>
    <w:p w14:paraId="567ADB7D" w14:textId="77777777" w:rsidR="00833224" w:rsidRPr="004675D3" w:rsidRDefault="00833224" w:rsidP="00833224">
      <w:pPr>
        <w:keepNext/>
        <w:rPr>
          <w:rFonts w:ascii="Arial" w:hAnsi="Arial" w:cs="Arial"/>
        </w:rPr>
      </w:pPr>
      <w:r w:rsidRPr="004675D3">
        <w:rPr>
          <w:rFonts w:ascii="Arial" w:hAnsi="Arial" w:cs="Arial"/>
          <w:noProof/>
        </w:rPr>
        <w:drawing>
          <wp:inline distT="0" distB="0" distL="0" distR="0" wp14:anchorId="65B1A152" wp14:editId="6A86B3BC">
            <wp:extent cx="5769444" cy="2364227"/>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95595" cy="2374943"/>
                    </a:xfrm>
                    <a:prstGeom prst="rect">
                      <a:avLst/>
                    </a:prstGeom>
                    <a:noFill/>
                  </pic:spPr>
                </pic:pic>
              </a:graphicData>
            </a:graphic>
          </wp:inline>
        </w:drawing>
      </w:r>
    </w:p>
    <w:p w14:paraId="42433841" w14:textId="2FB2E3F1" w:rsidR="00833224" w:rsidRPr="004675D3" w:rsidRDefault="00833224" w:rsidP="00833224">
      <w:pPr>
        <w:pStyle w:val="Caption"/>
        <w:rPr>
          <w:rFonts w:ascii="Arial" w:hAnsi="Arial" w:cs="Arial"/>
        </w:rPr>
      </w:pPr>
      <w:bookmarkStart w:id="4" w:name="_Toc84446280"/>
      <w:r w:rsidRPr="004675D3">
        <w:rPr>
          <w:rFonts w:ascii="Arial" w:hAnsi="Arial" w:cs="Arial"/>
        </w:rPr>
        <w:t xml:space="preserve">Figure </w:t>
      </w:r>
      <w:r w:rsidRPr="004675D3">
        <w:rPr>
          <w:rFonts w:ascii="Arial" w:hAnsi="Arial" w:cs="Arial"/>
        </w:rPr>
        <w:fldChar w:fldCharType="begin"/>
      </w:r>
      <w:r w:rsidRPr="004675D3">
        <w:rPr>
          <w:rFonts w:ascii="Arial" w:hAnsi="Arial" w:cs="Arial"/>
        </w:rPr>
        <w:instrText xml:space="preserve"> SEQ Figure \* ARABIC </w:instrText>
      </w:r>
      <w:r w:rsidRPr="004675D3">
        <w:rPr>
          <w:rFonts w:ascii="Arial" w:hAnsi="Arial" w:cs="Arial"/>
        </w:rPr>
        <w:fldChar w:fldCharType="separate"/>
      </w:r>
      <w:r w:rsidR="007F3B3C">
        <w:rPr>
          <w:rFonts w:ascii="Arial" w:hAnsi="Arial" w:cs="Arial"/>
          <w:noProof/>
        </w:rPr>
        <w:t>1</w:t>
      </w:r>
      <w:r w:rsidRPr="004675D3">
        <w:rPr>
          <w:rFonts w:ascii="Arial" w:hAnsi="Arial" w:cs="Arial"/>
        </w:rPr>
        <w:fldChar w:fldCharType="end"/>
      </w:r>
      <w:r w:rsidRPr="004675D3">
        <w:rPr>
          <w:rFonts w:ascii="Arial" w:hAnsi="Arial" w:cs="Arial"/>
        </w:rPr>
        <w:t xml:space="preserve"> Structure of the matrix of policy options</w:t>
      </w:r>
      <w:bookmarkEnd w:id="4"/>
    </w:p>
    <w:p w14:paraId="7476C703" w14:textId="7ED9190C" w:rsidR="00F81CCD" w:rsidRPr="004675D3" w:rsidRDefault="00EF5642" w:rsidP="00EF5642">
      <w:pPr>
        <w:pStyle w:val="Emphasis1"/>
        <w:rPr>
          <w:rFonts w:cs="Arial"/>
        </w:rPr>
      </w:pPr>
      <w:r w:rsidRPr="004675D3">
        <w:rPr>
          <w:rFonts w:cs="Arial"/>
        </w:rPr>
        <w:t>Policy options</w:t>
      </w:r>
    </w:p>
    <w:p w14:paraId="47C50A3B" w14:textId="5F6E3D39" w:rsidR="008F2ED5" w:rsidRPr="004675D3" w:rsidRDefault="008F2ED5" w:rsidP="008F2ED5">
      <w:pPr>
        <w:rPr>
          <w:rFonts w:ascii="Arial" w:hAnsi="Arial" w:cs="Arial"/>
        </w:rPr>
      </w:pPr>
      <w:r w:rsidRPr="004675D3">
        <w:rPr>
          <w:rFonts w:ascii="Arial" w:hAnsi="Arial" w:cs="Arial"/>
        </w:rPr>
        <w:t xml:space="preserve">This section describes the policy options presented in the policy matrix in more detail. Please note that the selection of policy options is based on policies that are generally agreed to contribute to </w:t>
      </w:r>
      <w:r w:rsidR="00404650" w:rsidRPr="004675D3">
        <w:rPr>
          <w:rFonts w:ascii="Arial" w:hAnsi="Arial" w:cs="Arial"/>
        </w:rPr>
        <w:t xml:space="preserve">greenhouse gas </w:t>
      </w:r>
      <w:r w:rsidRPr="004675D3">
        <w:rPr>
          <w:rFonts w:ascii="Arial" w:hAnsi="Arial" w:cs="Arial"/>
        </w:rPr>
        <w:t xml:space="preserve">emissions reductions, consist sector-level example policies which have been successful in specific contexts, or are expected to result in sufficient sectoral transformation to achieve </w:t>
      </w:r>
      <w:r w:rsidR="00404650" w:rsidRPr="004675D3">
        <w:rPr>
          <w:rFonts w:ascii="Arial" w:hAnsi="Arial" w:cs="Arial"/>
        </w:rPr>
        <w:t>greenhouse gas</w:t>
      </w:r>
      <w:r w:rsidR="00404650" w:rsidRPr="004675D3" w:rsidDel="00404650">
        <w:rPr>
          <w:rFonts w:ascii="Arial" w:hAnsi="Arial" w:cs="Arial"/>
        </w:rPr>
        <w:t xml:space="preserve"> </w:t>
      </w:r>
      <w:r w:rsidRPr="004675D3">
        <w:rPr>
          <w:rFonts w:ascii="Arial" w:hAnsi="Arial" w:cs="Arial"/>
        </w:rPr>
        <w:t>emissions reductions. This section is structured along the sectors in the policy matrix.</w:t>
      </w:r>
    </w:p>
    <w:p w14:paraId="363E489C" w14:textId="3AB45F5A" w:rsidR="00A87596" w:rsidRPr="004675D3" w:rsidRDefault="00A87596" w:rsidP="00A87596">
      <w:pPr>
        <w:pStyle w:val="Caption"/>
        <w:keepNext/>
        <w:rPr>
          <w:rFonts w:ascii="Arial" w:hAnsi="Arial" w:cs="Arial"/>
        </w:rPr>
      </w:pPr>
      <w:bookmarkStart w:id="5" w:name="_Ref48143570"/>
      <w:bookmarkStart w:id="6" w:name="_Toc76122083"/>
      <w:r w:rsidRPr="004675D3">
        <w:rPr>
          <w:rFonts w:ascii="Arial" w:hAnsi="Arial" w:cs="Arial"/>
        </w:rPr>
        <w:t xml:space="preserve">Table </w:t>
      </w:r>
      <w:r w:rsidRPr="004675D3">
        <w:rPr>
          <w:rFonts w:ascii="Arial" w:hAnsi="Arial" w:cs="Arial"/>
        </w:rPr>
        <w:fldChar w:fldCharType="begin"/>
      </w:r>
      <w:r w:rsidRPr="004675D3">
        <w:rPr>
          <w:rFonts w:ascii="Arial" w:hAnsi="Arial" w:cs="Arial"/>
        </w:rPr>
        <w:instrText xml:space="preserve"> SEQ Table \* ARABIC </w:instrText>
      </w:r>
      <w:r w:rsidRPr="004675D3">
        <w:rPr>
          <w:rFonts w:ascii="Arial" w:hAnsi="Arial" w:cs="Arial"/>
        </w:rPr>
        <w:fldChar w:fldCharType="separate"/>
      </w:r>
      <w:r w:rsidR="007F3B3C">
        <w:rPr>
          <w:rFonts w:ascii="Arial" w:hAnsi="Arial" w:cs="Arial"/>
          <w:noProof/>
        </w:rPr>
        <w:t>1</w:t>
      </w:r>
      <w:r w:rsidRPr="004675D3">
        <w:rPr>
          <w:rFonts w:ascii="Arial" w:hAnsi="Arial" w:cs="Arial"/>
        </w:rPr>
        <w:fldChar w:fldCharType="end"/>
      </w:r>
      <w:bookmarkEnd w:id="5"/>
      <w:r w:rsidRPr="004675D3">
        <w:rPr>
          <w:rFonts w:ascii="Arial" w:hAnsi="Arial" w:cs="Arial"/>
        </w:rPr>
        <w:t xml:space="preserve"> Policy options classified under the sector ‘general’</w:t>
      </w:r>
      <w:bookmarkEnd w:id="6"/>
    </w:p>
    <w:tbl>
      <w:tblPr>
        <w:tblStyle w:val="GridTable1Light-Accent3"/>
        <w:tblW w:w="5000" w:type="pct"/>
        <w:tblLook w:val="04A0" w:firstRow="1" w:lastRow="0" w:firstColumn="1" w:lastColumn="0" w:noHBand="0" w:noVBand="1"/>
      </w:tblPr>
      <w:tblGrid>
        <w:gridCol w:w="1828"/>
        <w:gridCol w:w="5502"/>
        <w:gridCol w:w="1686"/>
      </w:tblGrid>
      <w:tr w:rsidR="00A87596" w:rsidRPr="004675D3" w14:paraId="7FB189E3" w14:textId="77777777" w:rsidTr="00A875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tcPr>
          <w:p w14:paraId="0E74661C" w14:textId="77777777" w:rsidR="00A87596" w:rsidRPr="004675D3" w:rsidRDefault="00A87596" w:rsidP="00A87596">
            <w:pPr>
              <w:jc w:val="left"/>
              <w:rPr>
                <w:rFonts w:ascii="Arial" w:hAnsi="Arial" w:cs="Arial"/>
                <w:sz w:val="16"/>
                <w:szCs w:val="18"/>
              </w:rPr>
            </w:pPr>
            <w:r w:rsidRPr="004675D3">
              <w:rPr>
                <w:rFonts w:ascii="Arial" w:hAnsi="Arial" w:cs="Arial"/>
                <w:sz w:val="16"/>
                <w:szCs w:val="18"/>
              </w:rPr>
              <w:t>Policy option</w:t>
            </w:r>
          </w:p>
        </w:tc>
        <w:tc>
          <w:tcPr>
            <w:tcW w:w="3051" w:type="pct"/>
          </w:tcPr>
          <w:p w14:paraId="227E070E" w14:textId="77777777" w:rsidR="00A87596" w:rsidRPr="004675D3" w:rsidRDefault="00A87596" w:rsidP="00A87596">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Description</w:t>
            </w:r>
          </w:p>
        </w:tc>
        <w:tc>
          <w:tcPr>
            <w:tcW w:w="935" w:type="pct"/>
          </w:tcPr>
          <w:p w14:paraId="57E1777B" w14:textId="77777777" w:rsidR="00A87596" w:rsidRPr="004675D3" w:rsidRDefault="00A87596" w:rsidP="00A87596">
            <w:pPr>
              <w:cnfStyle w:val="100000000000" w:firstRow="1"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Further information</w:t>
            </w:r>
          </w:p>
        </w:tc>
      </w:tr>
      <w:tr w:rsidR="00A87596" w:rsidRPr="008C5F6E" w14:paraId="3199855B"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5903D25C" w14:textId="77777777" w:rsidR="00A87596" w:rsidRPr="004675D3" w:rsidRDefault="00A87596" w:rsidP="00A87596">
            <w:pPr>
              <w:jc w:val="left"/>
              <w:rPr>
                <w:rFonts w:ascii="Arial" w:hAnsi="Arial" w:cs="Arial"/>
                <w:sz w:val="16"/>
                <w:szCs w:val="18"/>
              </w:rPr>
            </w:pPr>
            <w:r w:rsidRPr="004675D3">
              <w:rPr>
                <w:rFonts w:ascii="Arial" w:eastAsia="Times New Roman" w:hAnsi="Arial" w:cs="Arial"/>
                <w:noProof/>
                <w:snapToGrid w:val="0"/>
                <w:color w:val="000000"/>
                <w:sz w:val="16"/>
                <w:szCs w:val="18"/>
                <w:lang w:eastAsia="ja-JP"/>
              </w:rPr>
              <w:t>Climate strategy</w:t>
            </w:r>
          </w:p>
        </w:tc>
        <w:tc>
          <w:tcPr>
            <w:tcW w:w="3051" w:type="pct"/>
            <w:vAlign w:val="center"/>
          </w:tcPr>
          <w:p w14:paraId="02A9E7DF"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Overarching national plans for the implementation of measures related to climate change. National strategies must have been approved or adopted by a government body.</w:t>
            </w:r>
          </w:p>
        </w:tc>
        <w:tc>
          <w:tcPr>
            <w:tcW w:w="935" w:type="pct"/>
          </w:tcPr>
          <w:p w14:paraId="4B30FE53" w14:textId="177BDBF4" w:rsidR="00A87596" w:rsidRPr="00736F5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lang w:val="pt-BR"/>
              </w:rPr>
            </w:pPr>
            <w:r w:rsidRPr="004675D3">
              <w:rPr>
                <w:rFonts w:ascii="Arial" w:hAnsi="Arial" w:cs="Arial"/>
                <w:sz w:val="16"/>
                <w:szCs w:val="18"/>
              </w:rPr>
              <w:fldChar w:fldCharType="begin" w:fldLock="1"/>
            </w:r>
            <w:r w:rsidR="009D4BA6" w:rsidRPr="00736F53">
              <w:rPr>
                <w:rFonts w:ascii="Arial" w:hAnsi="Arial" w:cs="Arial"/>
                <w:sz w:val="16"/>
                <w:szCs w:val="18"/>
                <w:lang w:val="pt-BR"/>
              </w:rPr>
              <w:instrText>ADDIN CSL_CITATION {"citationItems":[{"id":"ITEM-1","itemData":{"DOI":"10.1080/14693062.2018.1489772","ISSN":"1469-3062","author":[{"dropping-particle":"","family":"Iacobuta","given":"Gabriela","non-dropping-particle":"","parse-names":false,"suffix":""},{"dropping-particle":"","family":"Dubash","given":"Navroz K.","non-dropping-particle":"","parse-names":false,"suffix":""},{"dropping-particle":"","family":"Upadhyaya","given":"Prabhat","non-dropping-particle":"","parse-names":false,"suffix":""},{"dropping-particle":"","family":"Deribe","given":"Mekdelawit","non-dropping-particle":"","parse-names":false,"suffix":""},{"dropping-particle":"","family":"Höhne","given":"Niklas","non-dropping-particle":"","parse-names":false,"suffix":""}],"container-title":"Climate Policy","id":"ITEM-1","issue":"9","issued":{"date-parts":[["2018"]]},"page":"1114-1132","publisher":"Taylor &amp; Francis","title":"National climate change mitigation legislation, strategy and targets: a global update","type":"article-journal","volume":"18"},"uris":["http://www.mendeley.com/documents/?uuid=8bbce132-0149-4a21-a237-35b3b961f043"]},{"id":"ITEM-2","itemData":{"DOI":"10.1080/14693062.2013.845409","author":[{"dropping-particle":"","family":"Dubash","given":"Navroz K","non-dropping-particle":"","parse-names":false,"suffix":""},{"dropping-particle":"","family":"Hagemann","given":"Markus","non-dropping-particle":"","parse-names":false,"suffix":""},{"dropping-particle":"","family":"Höhne","given":"Niklas","non-dropping-particle":"","parse-names":false,"suffix":""},{"dropping-particle":"","family":"Upadhyaya","given":"Prabhat","non-dropping-particle":"","parse-names":false,"suffix":""}],"container-title":"Climate Policy","id":"ITEM-2","issue":"6","issued":{"date-parts":[["2013"]]},"number-of-pages":"649-664","title":"Developments in national climate change mitigation legislation and strategy","type":"report","volume":"13"},"uris":["http://www.mendeley.com/documents/?uuid=84bf8453-9475-4d4e-b3e7-b8dfd4aa96ef"]}],"mendeley":{"formattedCitation":"(Dubash &lt;i&gt;et al.&lt;/i&gt;, 2013; Iacobuta &lt;i&gt;et al.&lt;/i&gt;, 2018)","plainTextFormattedCitation":"(Dubash et al., 2013; Iacobuta et al., 2018)","previouslyFormattedCitation":"(Dubash &lt;i&gt;et al.&lt;/i&gt;, 2013; Iacobuta &lt;i&gt;et al.&lt;/i&gt;, 2018)"},"properties":{"noteIndex":0},"schema":"https://github.com/citation-style-language/schema/raw/master/csl-citation.json"}</w:instrText>
            </w:r>
            <w:r w:rsidRPr="004675D3">
              <w:rPr>
                <w:rFonts w:ascii="Arial" w:hAnsi="Arial" w:cs="Arial"/>
                <w:sz w:val="16"/>
                <w:szCs w:val="18"/>
              </w:rPr>
              <w:fldChar w:fldCharType="separate"/>
            </w:r>
            <w:r w:rsidR="009D4BA6" w:rsidRPr="00736F53">
              <w:rPr>
                <w:rFonts w:ascii="Arial" w:hAnsi="Arial" w:cs="Arial"/>
                <w:noProof/>
                <w:sz w:val="16"/>
                <w:szCs w:val="18"/>
                <w:lang w:val="pt-BR"/>
              </w:rPr>
              <w:t xml:space="preserve">(Dubash </w:t>
            </w:r>
            <w:r w:rsidR="009D4BA6" w:rsidRPr="00736F53">
              <w:rPr>
                <w:rFonts w:ascii="Arial" w:hAnsi="Arial" w:cs="Arial"/>
                <w:i/>
                <w:noProof/>
                <w:sz w:val="16"/>
                <w:szCs w:val="18"/>
                <w:lang w:val="pt-BR"/>
              </w:rPr>
              <w:t>et al.</w:t>
            </w:r>
            <w:r w:rsidR="009D4BA6" w:rsidRPr="00736F53">
              <w:rPr>
                <w:rFonts w:ascii="Arial" w:hAnsi="Arial" w:cs="Arial"/>
                <w:noProof/>
                <w:sz w:val="16"/>
                <w:szCs w:val="18"/>
                <w:lang w:val="pt-BR"/>
              </w:rPr>
              <w:t xml:space="preserve">, 2013; Iacobuta </w:t>
            </w:r>
            <w:r w:rsidR="009D4BA6" w:rsidRPr="00736F53">
              <w:rPr>
                <w:rFonts w:ascii="Arial" w:hAnsi="Arial" w:cs="Arial"/>
                <w:i/>
                <w:noProof/>
                <w:sz w:val="16"/>
                <w:szCs w:val="18"/>
                <w:lang w:val="pt-BR"/>
              </w:rPr>
              <w:t>et al.</w:t>
            </w:r>
            <w:r w:rsidR="009D4BA6" w:rsidRPr="00736F53">
              <w:rPr>
                <w:rFonts w:ascii="Arial" w:hAnsi="Arial" w:cs="Arial"/>
                <w:noProof/>
                <w:sz w:val="16"/>
                <w:szCs w:val="18"/>
                <w:lang w:val="pt-BR"/>
              </w:rPr>
              <w:t>, 2018)</w:t>
            </w:r>
            <w:r w:rsidRPr="004675D3">
              <w:rPr>
                <w:rFonts w:ascii="Arial" w:hAnsi="Arial" w:cs="Arial"/>
                <w:sz w:val="16"/>
                <w:szCs w:val="18"/>
              </w:rPr>
              <w:fldChar w:fldCharType="end"/>
            </w:r>
          </w:p>
        </w:tc>
      </w:tr>
      <w:tr w:rsidR="00A87596" w:rsidRPr="004675D3" w14:paraId="7DAEC6EA"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699DBE4F" w14:textId="77777777" w:rsidR="00A87596" w:rsidRPr="004675D3" w:rsidRDefault="00A87596" w:rsidP="00A87596">
            <w:pPr>
              <w:jc w:val="left"/>
              <w:rPr>
                <w:rFonts w:ascii="Arial" w:hAnsi="Arial" w:cs="Arial"/>
                <w:sz w:val="16"/>
                <w:szCs w:val="18"/>
              </w:rPr>
            </w:pPr>
            <w:r w:rsidRPr="004675D3">
              <w:rPr>
                <w:rFonts w:ascii="Arial" w:eastAsia="Times New Roman" w:hAnsi="Arial" w:cs="Arial"/>
                <w:noProof/>
                <w:snapToGrid w:val="0"/>
                <w:color w:val="000000"/>
                <w:sz w:val="16"/>
                <w:szCs w:val="18"/>
                <w:lang w:eastAsia="ja-JP"/>
              </w:rPr>
              <w:t>GHG reduction target</w:t>
            </w:r>
          </w:p>
        </w:tc>
        <w:tc>
          <w:tcPr>
            <w:tcW w:w="3051" w:type="pct"/>
            <w:vAlign w:val="center"/>
          </w:tcPr>
          <w:p w14:paraId="639ADD20"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Targets related to GHG emissions reductions. Applies to absolute emissions targets as well as reduction below </w:t>
            </w:r>
            <w:proofErr w:type="gramStart"/>
            <w:r w:rsidRPr="004675D3">
              <w:rPr>
                <w:rFonts w:ascii="Arial" w:hAnsi="Arial" w:cs="Arial"/>
                <w:sz w:val="16"/>
                <w:szCs w:val="18"/>
              </w:rPr>
              <w:t>business as usual</w:t>
            </w:r>
            <w:proofErr w:type="gramEnd"/>
            <w:r w:rsidRPr="004675D3">
              <w:rPr>
                <w:rFonts w:ascii="Arial" w:hAnsi="Arial" w:cs="Arial"/>
                <w:sz w:val="16"/>
                <w:szCs w:val="18"/>
              </w:rPr>
              <w:t xml:space="preserve"> trajectories and intensity targets. More uncertain mid-century targets were not considered.</w:t>
            </w:r>
          </w:p>
        </w:tc>
        <w:tc>
          <w:tcPr>
            <w:tcW w:w="935" w:type="pct"/>
          </w:tcPr>
          <w:p w14:paraId="4721FB34" w14:textId="0304C400"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{"citationItems":[{"id":"ITEM-1","itemData":{"author":[{"dropping-particle":"","family":"IEA","given":"","non-dropping-particle":"","parse-names":false,"suffix":""}],"id":"ITEM-1","issued":{"date-parts":[["2015"]]},"publisher":"International Energy Agency","publisher-place":"Paris, France","title":"Energy and climate change. World Energy Outlook Special Report.","type":"report"},"uris":["http://www.mendeley.com/documents/?uuid=bdb55b1e-84ff-46fc-9690-a4426dffefc0"]},{"id":"ITEM-2","itemData":{"DOI":"10.1080/14693062.2018.1489772","ISSN":"1469-3062","author":[{"dropping-particle":"","family":"Iacobuta","given":"Gabriela","non-dropping-particle":"","parse-names":false,"suffix":""},{"dropping-particle":"","family":"Dubash","given":"Navroz K.","non-dropping-particle":"","parse-names":false,"suffix":""},{"dropping-particle":"","family":"Upadhyaya","given":"Prabhat","non-dropping-particle":"","parse-names":false,"suffix":""},{"dropping-particle":"","family":"Deribe","given":"Mekdelawit","non-dropping-particle":"","parse-names":false,"suffix":""},{"dropping-particle":"","family":"Höhne","given":"Niklas","non-dropping-particle":"","parse-names":false,"suffix":""}],"container-title":"Climate Policy","id":"ITEM-2","issue":"9","issued":{"date-parts":[["2018"]]},"page":"1114-1132","publisher":"Taylor &amp; Francis","title":"National climate change mitigation legislation, strategy and targets: a global update","type":"article-journal","volume":"18"},"uris":["http://www.mendeley.com/documents/?uuid=8bbce132-0149-4a21-a237-35b3b961f043"]}],"mendeley":{"formattedCitation":"(IEA, 2015; Iacobuta &lt;i&gt;et al.&lt;/i&gt;, 2018)","plainTextFormattedCitation":"(IEA, 2015; Iacobuta et al., 2018)","previouslyFormattedCitation":"(IEA, 2015; Iacobuta &lt;i&gt;et al.&lt;/i&gt;,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(IEA, 2015; Iacobuta </w:t>
            </w:r>
            <w:r w:rsidR="009D4BA6" w:rsidRPr="004675D3">
              <w:rPr>
                <w:rFonts w:ascii="Arial" w:hAnsi="Arial" w:cs="Arial"/>
                <w:i/>
                <w:noProof/>
                <w:sz w:val="16"/>
                <w:szCs w:val="18"/>
              </w:rPr>
              <w:t>et al.</w:t>
            </w:r>
            <w:r w:rsidR="009D4BA6" w:rsidRPr="004675D3">
              <w:rPr>
                <w:rFonts w:ascii="Arial" w:hAnsi="Arial" w:cs="Arial"/>
                <w:noProof/>
                <w:sz w:val="16"/>
                <w:szCs w:val="18"/>
              </w:rPr>
              <w:t>, 2018)</w:t>
            </w:r>
            <w:r w:rsidRPr="004675D3">
              <w:rPr>
                <w:rFonts w:ascii="Arial" w:hAnsi="Arial" w:cs="Arial"/>
                <w:sz w:val="16"/>
                <w:szCs w:val="18"/>
              </w:rPr>
              <w:fldChar w:fldCharType="end"/>
            </w:r>
          </w:p>
        </w:tc>
      </w:tr>
      <w:tr w:rsidR="00A87596" w:rsidRPr="004675D3" w14:paraId="70F5F528"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3511F4B9" w14:textId="77777777" w:rsidR="00A87596" w:rsidRPr="004675D3" w:rsidRDefault="00A87596" w:rsidP="00A87596">
            <w:pPr>
              <w:jc w:val="left"/>
              <w:rPr>
                <w:rFonts w:ascii="Arial" w:hAnsi="Arial" w:cs="Arial"/>
                <w:sz w:val="16"/>
                <w:szCs w:val="18"/>
              </w:rPr>
            </w:pPr>
            <w:r w:rsidRPr="004675D3">
              <w:rPr>
                <w:rFonts w:ascii="Arial" w:eastAsia="Times New Roman" w:hAnsi="Arial" w:cs="Arial"/>
                <w:noProof/>
                <w:snapToGrid w:val="0"/>
                <w:color w:val="000000"/>
                <w:sz w:val="16"/>
                <w:szCs w:val="18"/>
                <w:lang w:eastAsia="ja-JP"/>
              </w:rPr>
              <w:t>Coordinating body for climate strategy</w:t>
            </w:r>
          </w:p>
        </w:tc>
        <w:tc>
          <w:tcPr>
            <w:tcW w:w="3051" w:type="pct"/>
            <w:vAlign w:val="center"/>
          </w:tcPr>
          <w:p w14:paraId="0CE61E79"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Institutions with the main purpose of coordinating the implementation of climate strategies as well as overseeing activities related to climate change.</w:t>
            </w:r>
          </w:p>
        </w:tc>
        <w:tc>
          <w:tcPr>
            <w:tcW w:w="935" w:type="pct"/>
          </w:tcPr>
          <w:p w14:paraId="732BC373" w14:textId="03618C1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{"citationItems":[{"id":"ITEM-1","itemData":{"ISBN":"9781107654815","author":[{"dropping-particle":"","family":"IPCC","given":"","non-dropping-particle":"","parse-names":false,"suffix":""}],"container-title":"Climate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Kadner","given":"S.","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-1","issued":{"date-parts":[["2014"]]},"publisher":"Cambridge University Press","publisher-place":"Cambridge, UK and New York, NY","title":"Summary for Policymakers","type":"report"},"uris":["http://www.mendeley.com/documents/?uuid=bae1ec7b-5715-4250-a1a4-b415b93c982f"]},{"id":"ITEM-2","itemData":{"DOI":"10.1080/14693062.2018.1489772","ISSN":"1469-3062","author":[{"dropping-particle":"","family":"Iacobuta","given":"Gabriela","non-dropping-particle":"","parse-names":false,"suffix":""},{"dropping-particle":"","family":"Dubash","given":"Navroz K.","non-dropping-particle":"","parse-names":false,"suffix":""},{"dropping-particle":"","family":"Upadhyaya","given":"Prabhat","non-dropping-particle":"","parse-names":false,"suffix":""},{"dropping-particle":"","family":"Deribe","given":"Mekdelawit","non-dropping-particle":"","parse-names":false,"suffix":""},{"dropping-particle":"","family":"Höhne","given":"Niklas","non-dropping-particle":"","parse-names":false,"suffix":""}],"container-title":"Climate Policy","id":"ITEM-2","issue":"9","issued":{"date-parts":[["2018"]]},"page":"1114-1132","publisher":"Taylor &amp; Francis","title":"National climate change mitigation legislation, strategy and targets: a global update","type":"article-journal","volume":"18"},"uris":["http://www.mendeley.com/documents/?uuid=8bbce132-0149-4a21-a237-35b3b961f043"]}],"mendeley":{"formattedCitation":"(IPCC, 2014; Iacobuta &lt;i&gt;et al.&lt;/i&gt;, 2018)","plainTextFormattedCitation":"(IPCC, 2014; Iacobuta et al., 2018)","previouslyFormattedCitation":"(IPCC, 2014; Iacobuta &lt;i&gt;et al.&lt;/i&gt;,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(IPCC, 2014; Iacobuta </w:t>
            </w:r>
            <w:r w:rsidR="009D4BA6" w:rsidRPr="004675D3">
              <w:rPr>
                <w:rFonts w:ascii="Arial" w:hAnsi="Arial" w:cs="Arial"/>
                <w:i/>
                <w:noProof/>
                <w:sz w:val="16"/>
                <w:szCs w:val="18"/>
              </w:rPr>
              <w:t>et al.</w:t>
            </w:r>
            <w:r w:rsidR="009D4BA6" w:rsidRPr="004675D3">
              <w:rPr>
                <w:rFonts w:ascii="Arial" w:hAnsi="Arial" w:cs="Arial"/>
                <w:noProof/>
                <w:sz w:val="16"/>
                <w:szCs w:val="18"/>
              </w:rPr>
              <w:t>, 2018)</w:t>
            </w:r>
            <w:r w:rsidRPr="004675D3">
              <w:rPr>
                <w:rFonts w:ascii="Arial" w:hAnsi="Arial" w:cs="Arial"/>
                <w:sz w:val="16"/>
                <w:szCs w:val="18"/>
              </w:rPr>
              <w:fldChar w:fldCharType="end"/>
            </w:r>
          </w:p>
        </w:tc>
      </w:tr>
      <w:tr w:rsidR="00A87596" w:rsidRPr="004675D3" w14:paraId="6340AFD9"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26CAEC67" w14:textId="77777777" w:rsidR="00A87596" w:rsidRPr="004675D3" w:rsidRDefault="00A87596" w:rsidP="00A87596">
            <w:pPr>
              <w:jc w:val="left"/>
              <w:rPr>
                <w:rFonts w:ascii="Arial" w:hAnsi="Arial" w:cs="Arial"/>
                <w:sz w:val="16"/>
                <w:szCs w:val="18"/>
              </w:rPr>
            </w:pPr>
            <w:r w:rsidRPr="004675D3">
              <w:rPr>
                <w:rFonts w:ascii="Arial" w:eastAsia="Times New Roman" w:hAnsi="Arial" w:cs="Arial"/>
                <w:noProof/>
                <w:snapToGrid w:val="0"/>
                <w:color w:val="000000"/>
                <w:sz w:val="16"/>
                <w:szCs w:val="18"/>
                <w:lang w:eastAsia="ja-JP"/>
              </w:rPr>
              <w:t>Support for low-emission or negative emissions RD&amp;D</w:t>
            </w:r>
          </w:p>
        </w:tc>
        <w:tc>
          <w:tcPr>
            <w:tcW w:w="3051" w:type="pct"/>
            <w:vAlign w:val="center"/>
          </w:tcPr>
          <w:p w14:paraId="51DC0269"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Support for research and development of low- or negative-emissions technologies that help the transition to a low-carbon economy.</w:t>
            </w:r>
          </w:p>
        </w:tc>
        <w:tc>
          <w:tcPr>
            <w:tcW w:w="935" w:type="pct"/>
          </w:tcPr>
          <w:p w14:paraId="00554B91" w14:textId="48555A20"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{"citationItems":[{"id":"ITEM-1","itemData":{"author":[{"dropping-particle":"","family":"UNFCCC","given":"","non-dropping-particle":"","parse-names":false,"suffix":""}],"id":"ITEM-1","issued":{"date-parts":[["2014"]]},"publisher":"United Nations Framework Convention on Climate Change","publisher-place":"Bonn, Germany","title":"Non-market based approaches. Technical paper. FCCC/TP/2014/10","type":"report"},"uris":["http://www.mendeley.com/documents/?uuid=5014da37-4043-460c-925b-b5bed229da5f"]},{"id":"ITEM-2","itemData":{"author":[{"dropping-particle":"","family":"IEA","given":"","non-dropping-particle":"","parse-names":false,"suffix":""}],"id":"ITEM-2","issued":{"date-parts":[["2017"]]},"publisher":"International Energy Agency","publisher-place":"Paris, France","title":"Energy Technology Perspectives 2017. Catalysing Energy Technology Transformations","type":"report"},"uris":["http://www.mendeley.com/documents/?uuid=16a16aab-f101-4ca0-be1e-23255b871180"]},{"id":"ITEM-3","itemData":{"author":[{"dropping-particle":"","family":"IPCC","given":"","non-dropping-particle":"","parse-names":false,"suffix":""}],"id":"ITEM-3","issued":{"date-parts":[["2018"]]},"number-of-pages":"1-630","publisher":"Intergovernmental Panel on Climate Change","title":"Global Warming of 1.5°C. An IPCC Special Report on the impacts of global warming of 1.5°C above pre-industrial levels and related global greenhouse gas emission pathways, in the context of strengthening the global response to the threat of climate change,","type":"report"},"uris":["http://www.mendeley.com/documents/?uuid=b444de0e-4948-47dd-8c1f-8bd2c069adc5"]}],"mendeley":{"formattedCitation":"(UNFCCC, 2014a; IEA, 2017; IPCC, 2018)","plainTextFormattedCitation":"(UNFCCC, 2014a; IEA, 2017; IPCC, 2018)","previouslyFormattedCitation":"(UNFCCC, 2014a; IEA, 2017; IPCC,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(UNFCCC, 2014a; IEA, 2017; IPCC, 2018)</w:t>
            </w:r>
            <w:r w:rsidRPr="004675D3">
              <w:rPr>
                <w:rFonts w:ascii="Arial" w:hAnsi="Arial" w:cs="Arial"/>
                <w:sz w:val="16"/>
                <w:szCs w:val="18"/>
              </w:rPr>
              <w:fldChar w:fldCharType="end"/>
            </w:r>
          </w:p>
        </w:tc>
      </w:tr>
      <w:tr w:rsidR="00A87596" w:rsidRPr="004675D3" w14:paraId="319A10D4"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43A6FE30" w14:textId="77777777" w:rsidR="00A87596" w:rsidRPr="004675D3" w:rsidRDefault="00A87596" w:rsidP="00A87596">
            <w:pPr>
              <w:jc w:val="left"/>
              <w:rPr>
                <w:rFonts w:ascii="Arial" w:hAnsi="Arial" w:cs="Arial"/>
                <w:sz w:val="16"/>
                <w:szCs w:val="18"/>
              </w:rPr>
            </w:pPr>
            <w:r w:rsidRPr="004675D3">
              <w:rPr>
                <w:rFonts w:ascii="Arial" w:eastAsia="Times New Roman" w:hAnsi="Arial" w:cs="Arial"/>
                <w:noProof/>
                <w:snapToGrid w:val="0"/>
                <w:color w:val="000000"/>
                <w:sz w:val="16"/>
                <w:szCs w:val="18"/>
                <w:lang w:eastAsia="ja-JP"/>
              </w:rPr>
              <w:t>No fossil fuel subsidies</w:t>
            </w:r>
          </w:p>
        </w:tc>
        <w:tc>
          <w:tcPr>
            <w:tcW w:w="3051" w:type="pct"/>
            <w:vAlign w:val="center"/>
          </w:tcPr>
          <w:p w14:paraId="78723DF1"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Removal of all fossil fuel subsidies enabling the achievement of development goals and paving the way to a transition to green technologies.</w:t>
            </w:r>
          </w:p>
        </w:tc>
        <w:tc>
          <w:tcPr>
            <w:tcW w:w="935" w:type="pct"/>
          </w:tcPr>
          <w:p w14:paraId="51BF43D5" w14:textId="2A27F59C"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{"citationItems":[{"id":"ITEM-1","itemData":{"DOI":"10.1038/nclimate2679","ISSN":"1758-6798","abstract":"Reforming fossil fuel subsidies could free up enough funds to finance universal access to water, sanitation, and electricity in many countries, as well as helping to cut global greenhouse-gas emissions.","author":[{"dropping-particle":"","family":"Jakob","given":"Michael","non-dropping-particle":"","parse-names":false,"suffix":""},{"dropping-particle":"","family":"Chen","given":"Claudine","non-dropping-particle":"","parse-names":false,"suffix":""},{"dropping-particle":"","family":"Fuss","given":"Sabine","non-dropping-particle":"","parse-names":false,"suffix":""},{"dropping-particle":"","family":"Marxen","given":"Annika","non-dropping-particle":"","parse-names":false,"suffix":""},{"dropping-particle":"","family":"Edenhofer","given":"Ottmar","non-dropping-particle":"","parse-names":false,"suffix":""}],"container-title":"Nature Climate Change","id":"ITEM-1","issue":"8","issued":{"date-parts":[["2015"]]},"page":"709-712","title":"Development incentives for fossil fuel subsidy reform","type":"article-journal","volume":"5"},"uris":["http://www.mendeley.com/documents/?uuid=01443e35-4390-4e59-bbda-44330b6325d0"]},{"id":"ITEM-2","itemData":{"DOI":"10.1080/14693062.2016.1169393","ISSN":"1469-3062","abstract":"This article outlines the current state of affairs in fossil fuel subsidy reform, and highlights its contribution at the nexus of climate policy, fiscal stability and sustainable development. It discusses common definitions, provides quantitative estimates, and presents the evidence for key arguments in favour of subsidy reform. The main drivers and barriers for reform are also discussed, including the role of (low) oil prices and political economy challenges. Commitments to subsidy reform by the international community are reviewed, as well as the progress at the country level. Although fossil fuel subsidy reform indeed plays a critical role in climate policy, experience shows that the rationale for such reforms is determined in a complex environment of political economy challenges, macro-economic, fiscal and social factors, as well as external drivers such as energy prices. The article synthesizes the key principles for designing effective reforms and emphasizes that subsidy reforms cannot only yield fiscal relief, but should also contribute to long-term sustainable development objectives. Areas for future research are also identified.Policy relevanceThere is an increasingly strong international consensus that fossil fuel subsidies are detrimental in terms of economic, social and environmental sustainability. Organizations including the Intergovernmental Panel on Climate Change and the International Energy Agency consider fossil fuel subsidy reform a critical measure for achieving any ambitious emissions mitigation target. The reason is that these subsidies not only incentivize overconsumption of carbon-intensive energy, but directly undermine any effort to impose a price on carbon (e.g. through carbon taxes). While subsidy reform is crucial from a climate change perspective, the wide range of externalities associated with fuel subsidies also underscores the fact that reform is a vital contribution to sustainable development objectives more generally. This article emphasizes that fossil fuel subsidy reform can make a substantial contribution to climate policy, but also discusses how strongly environmental objectives are intertwined with fiscal, macro-economic, political and social factors. Although the momentum for subsidy reform is building, reforms are often designed to deliver fiscal rather than environmental benefits.","author":[{"dropping-particle":"","family":"Rentschler","given":"Jun","non-dropping-particle":"","parse-names":false,"suffix":""},{"dropping-particle":"","family":"Bazilian","given":"Morgan","non-dropping-particle":"","parse-names":false,"suffix":""}],"container-title":"Climate Policy","id":"ITEM-2","issue":"7","issued":{"date-parts":[["2017","10","3"]]},"note":"doi: 10.1080/14693062.2016.1169393","page":"891-914","publisher":"Taylor &amp; Francis","title":"Reforming fossil fuel subsidies: drivers, barriers and the state of progress","type":"article-journal","volume":"17"},"uris":["http://www.mendeley.com/documents/?uuid=d7c27532-5c6d-43e4-8386-8b639ae2bfc1"]}],"mendeley":{"formattedCitation":"(Jakob &lt;i&gt;et al.&lt;/i&gt;, 2015; Rentschler and Bazilian, 2017)","plainTextFormattedCitation":"(Jakob et al., 2015; Rentschler and Bazilian, 2017)","previouslyFormattedCitation":"(Jakob &lt;i&gt;et al.&lt;/i&gt;, 2015; Rentschler and Bazilian, 2017)"},"properties":{"noteIndex":0},"schema":"https://github.com/citation-style-language/schema/raw/master/csl-citation.json"}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(Jakob </w:t>
            </w:r>
            <w:r w:rsidR="009D4BA6" w:rsidRPr="004675D3">
              <w:rPr>
                <w:rFonts w:ascii="Arial" w:hAnsi="Arial" w:cs="Arial"/>
                <w:i/>
                <w:noProof/>
                <w:sz w:val="16"/>
                <w:szCs w:val="18"/>
              </w:rPr>
              <w:t>et al.</w:t>
            </w:r>
            <w:r w:rsidR="009D4BA6" w:rsidRPr="004675D3">
              <w:rPr>
                <w:rFonts w:ascii="Arial" w:hAnsi="Arial" w:cs="Arial"/>
                <w:noProof/>
                <w:sz w:val="16"/>
                <w:szCs w:val="18"/>
              </w:rPr>
              <w:t>, 2015; Rentschler and Bazilian, 2017)</w:t>
            </w:r>
            <w:r w:rsidRPr="004675D3">
              <w:rPr>
                <w:rFonts w:ascii="Arial" w:hAnsi="Arial" w:cs="Arial"/>
                <w:sz w:val="16"/>
                <w:szCs w:val="18"/>
              </w:rPr>
              <w:fldChar w:fldCharType="end"/>
            </w:r>
          </w:p>
        </w:tc>
      </w:tr>
      <w:tr w:rsidR="00A87596" w:rsidRPr="004675D3" w14:paraId="1402E034"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7E8475AB" w14:textId="77777777" w:rsidR="00A87596" w:rsidRPr="004675D3" w:rsidRDefault="00A87596" w:rsidP="00A87596">
            <w:pPr>
              <w:jc w:val="left"/>
              <w:rPr>
                <w:rFonts w:ascii="Arial" w:hAnsi="Arial" w:cs="Arial"/>
                <w:sz w:val="16"/>
                <w:szCs w:val="18"/>
              </w:rPr>
            </w:pPr>
            <w:r w:rsidRPr="004675D3">
              <w:rPr>
                <w:rFonts w:ascii="Arial" w:eastAsia="Times New Roman" w:hAnsi="Arial" w:cs="Arial"/>
                <w:noProof/>
                <w:snapToGrid w:val="0"/>
                <w:color w:val="000000"/>
                <w:sz w:val="16"/>
                <w:szCs w:val="18"/>
                <w:lang w:eastAsia="ja-JP"/>
              </w:rPr>
              <w:lastRenderedPageBreak/>
              <w:t>Economy-wide energy efficiency target</w:t>
            </w:r>
          </w:p>
        </w:tc>
        <w:tc>
          <w:tcPr>
            <w:tcW w:w="3051" w:type="pct"/>
            <w:vAlign w:val="center"/>
          </w:tcPr>
          <w:p w14:paraId="3AA32D76"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Targets resulting in energy consumption below a </w:t>
            </w:r>
            <w:proofErr w:type="gramStart"/>
            <w:r w:rsidRPr="004675D3">
              <w:rPr>
                <w:rFonts w:ascii="Arial" w:hAnsi="Arial" w:cs="Arial"/>
                <w:sz w:val="16"/>
                <w:szCs w:val="18"/>
              </w:rPr>
              <w:t>business as usual</w:t>
            </w:r>
            <w:proofErr w:type="gramEnd"/>
            <w:r w:rsidRPr="004675D3">
              <w:rPr>
                <w:rFonts w:ascii="Arial" w:hAnsi="Arial" w:cs="Arial"/>
                <w:sz w:val="16"/>
                <w:szCs w:val="18"/>
              </w:rPr>
              <w:t xml:space="preserve"> trajectory. Usually presented as a reduction in energy intensity over GDP or as a total energy consumption target.</w:t>
            </w:r>
          </w:p>
        </w:tc>
        <w:tc>
          <w:tcPr>
            <w:tcW w:w="935" w:type="pct"/>
          </w:tcPr>
          <w:p w14:paraId="2113E9F3" w14:textId="707C87CB"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{"citationItems":[{"id":"ITEM-1","itemData":{"author":[{"dropping-particle":"","family":"IEA","given":"","non-dropping-particle":"","parse-names":false,"suffix":""}],"id":"ITEM-1","issued":{"date-parts":[["2015"]]},"publisher":"International Energy Agency","publisher-place":"Paris, France","title":"Energy and climate change. World Energy Outlook Special Report.","type":"report"},"uris":["http://www.mendeley.com/documents/?uuid=bdb55b1e-84ff-46fc-9690-a4426dffefc0"]},{"id":"ITEM-2","itemData":{"DOI":"10.1038/s41560-018-0172-6","ISSN":"2058-7546","author":[{"dropping-particle":"","family":"Grubler","given":"Arnulf","non-dropping-particle":"","parse-names":false,"suffix":""},{"dropping-particle":"","family":"Wilson","given":"Charlie","non-dropping-particle":"","parse-names":false,"suffix":""},{"dropping-particle":"","family":"Bento","given":"Nuno","non-dropping-particle":"","parse-names":false,"suffix":""},{"dropping-particle":"","family":"Boza-kiss","given":"Benigna","non-dropping-particle":"","parse-names":false,"suffix":""},{"dropping-particle":"","family":"Krey","given":"Volker","non-dropping-particle":"","parse-names":false,"suffix":""},{"dropping-particle":"","family":"Mccollum","given":"David L","non-dropping-particle":"","parse-names":false,"suffix":""},{"dropping-particle":"","family":"Rao","given":"Narasimha D","non-dropping-particle":"","parse-names":false,"suffix":""},{"dropping-particle":"","family":"Riahi","given":"Keywan","non-dropping-particle":"","parse-names":false,"suffix":""},{"dropping-particle":"","family":"Rogelj","given":"Joeri","non-dropping-particle":"","parse-names":false,"suffix":""},{"dropping-particle":"De","family":"Stercke","given":"Simon","non-dropping-particle":"","parse-names":false,"suffix":""},{"dropping-particle":"","family":"Cullen","given":"Jonathan","non-dropping-particle":"","parse-names":false,"suffix":""},{"dropping-particle":"","family":"Frank","given":"Stefan","non-dropping-particle":"","parse-names":false,"suffix":""},{"dropping-particle":"","family":"Fricko","given":"Oliver","non-dropping-particle":"","parse-names":false,"suffix":""},{"dropping-particle":"","family":"Guo","given":"Fei","non-dropping-particle":"","parse-names":false,"suffix":""},{"dropping-particle":"","family":"Gidden","given":"Matt","non-dropping-particle":"","parse-names":false,"suffix":""},{"dropping-particle":"","family":"Havlík","given":"Petr","non-dropping-particle":"","parse-names":false,"suffix":""},{"dropping-particle":"","family":"Huppmann","given":"Daniel","non-dropping-particle":"","parse-names":false,"suffix":""},{"dropping-particle":"","family":"Kiesewetter","given":"Gregor","non-dropping-particle":"","parse-names":false,"suffix":""},{"dropping-particle":"","family":"Rafaj","given":"Peter","non-dropping-particle":"","parse-names":false,"suffix":""},{"dropping-particle":"","family":"Schoepp","given":"Wolfgang","non-dropping-particle":"","parse-names":false,"suffix":""},{"dropping-particle":"","family":"Valin","given":"Hugo","non-dropping-particle":"","parse-names":false,"suffix":""}],"container-title":"Nature Energy","id":"ITEM-2","issue":"June","issued":{"date-parts":[["2018"]]},"page":"515-527","publisher":"Springer US","title":"A low energy demand scenario for meeting the 1.5°C target and sustainable development goals without negative emission technologies","type":"article-journal","volume":"3"},"uris":["http://www.mendeley.com/documents/?uuid=62d58788-8077-4815-870d-1f1f46aa1ee3"]}],"mendeley":{"formattedCitation":"(IEA, 2015; Grubler &lt;i&gt;et al.&lt;/i&gt;, 2018)","plainTextFormattedCitation":"(IEA, 2015; Grubler et al., 2018)","previouslyFormattedCitation":"(IEA, 2015; Grubler &lt;i&gt;et al.&lt;/i&gt;,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(IEA, 2015; Grubler </w:t>
            </w:r>
            <w:r w:rsidR="009D4BA6" w:rsidRPr="004675D3">
              <w:rPr>
                <w:rFonts w:ascii="Arial" w:hAnsi="Arial" w:cs="Arial"/>
                <w:i/>
                <w:noProof/>
                <w:sz w:val="16"/>
                <w:szCs w:val="18"/>
              </w:rPr>
              <w:t>et al.</w:t>
            </w:r>
            <w:r w:rsidR="009D4BA6" w:rsidRPr="004675D3">
              <w:rPr>
                <w:rFonts w:ascii="Arial" w:hAnsi="Arial" w:cs="Arial"/>
                <w:noProof/>
                <w:sz w:val="16"/>
                <w:szCs w:val="18"/>
              </w:rPr>
              <w:t>, 2018)</w:t>
            </w:r>
            <w:r w:rsidRPr="004675D3">
              <w:rPr>
                <w:rFonts w:ascii="Arial" w:hAnsi="Arial" w:cs="Arial"/>
                <w:sz w:val="16"/>
                <w:szCs w:val="18"/>
              </w:rPr>
              <w:fldChar w:fldCharType="end"/>
            </w:r>
          </w:p>
        </w:tc>
      </w:tr>
      <w:tr w:rsidR="00A87596" w:rsidRPr="004675D3" w14:paraId="107B955C"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4D5FE4F6" w14:textId="77777777" w:rsidR="00A87596" w:rsidRPr="004675D3" w:rsidRDefault="00A87596" w:rsidP="00A87596">
            <w:pPr>
              <w:jc w:val="left"/>
              <w:rPr>
                <w:rFonts w:ascii="Arial" w:hAnsi="Arial" w:cs="Arial"/>
                <w:sz w:val="16"/>
                <w:szCs w:val="18"/>
              </w:rPr>
            </w:pPr>
            <w:r w:rsidRPr="004675D3">
              <w:rPr>
                <w:rFonts w:ascii="Arial" w:eastAsia="Times New Roman" w:hAnsi="Arial" w:cs="Arial"/>
                <w:noProof/>
                <w:snapToGrid w:val="0"/>
                <w:color w:val="000000"/>
                <w:sz w:val="16"/>
                <w:szCs w:val="18"/>
                <w:lang w:eastAsia="ja-JP"/>
              </w:rPr>
              <w:t>Renewable target for primary energy</w:t>
            </w:r>
          </w:p>
        </w:tc>
        <w:tc>
          <w:tcPr>
            <w:tcW w:w="3051" w:type="pct"/>
            <w:vAlign w:val="center"/>
          </w:tcPr>
          <w:p w14:paraId="72DF8270"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Renewable target associated to primary energy demand. Targets related to electricity alone are included in the electricity and heat sector. Setting short- to mid-term targets for renewable electricity generation or capacity provides certainty for investors.</w:t>
            </w:r>
          </w:p>
        </w:tc>
        <w:tc>
          <w:tcPr>
            <w:tcW w:w="935" w:type="pct"/>
          </w:tcPr>
          <w:p w14:paraId="039BF110" w14:textId="1A936CB2"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{"citationItems":[{"id":"ITEM-1","itemData":{"author":[{"dropping-particle":"","family":"IEA","given":"","non-dropping-particle":"","parse-names":false,"suffix":""}],"id":"ITEM-1","issued":{"date-parts":[["2015"]]},"publisher":"International Energy Agency","publisher-place":"Paris, France","title":"Energy and climate change. World Energy Outlook Special Report.","type":"report"},"uris":["http://www.mendeley.com/documents/?uuid=bdb55b1e-84ff-46fc-9690-a4426dffefc0"]},{"id":"ITEM-2","itemData":{"ISBN":"9783981891133","author":[{"dropping-particle":"","family":"REN21","given":"","non-dropping-particle":"","parse-names":false,"suffix":""}],"id":"ITEM-2","issued":{"date-parts":[["2018"]]},"publisher":"REN21","publisher-place":"Paris, France, France","title":"Renewables 2018 global status report","type":"report"},"uris":["http://www.mendeley.com/documents/?uuid=b15bb8f9-2bda-4978-acdc-416594f1a654"]}],"mendeley":{"formattedCitation":"(IEA, 2015; REN21, 2018)","plainTextFormattedCitation":"(IEA, 2015; REN21, 2018)","previouslyFormattedCitation":"(IEA, 2015; REN21,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(IEA, 2015; REN21, 2018)</w:t>
            </w:r>
            <w:r w:rsidRPr="004675D3">
              <w:rPr>
                <w:rFonts w:ascii="Arial" w:hAnsi="Arial" w:cs="Arial"/>
                <w:sz w:val="16"/>
                <w:szCs w:val="18"/>
              </w:rPr>
              <w:fldChar w:fldCharType="end"/>
            </w:r>
          </w:p>
        </w:tc>
      </w:tr>
    </w:tbl>
    <w:p w14:paraId="701D93C8" w14:textId="77777777" w:rsidR="00A87596" w:rsidRPr="004675D3" w:rsidRDefault="00A87596" w:rsidP="00A87596">
      <w:pPr>
        <w:pStyle w:val="Caption"/>
        <w:keepNext/>
        <w:rPr>
          <w:rFonts w:ascii="Arial" w:hAnsi="Arial" w:cs="Arial"/>
        </w:rPr>
      </w:pPr>
    </w:p>
    <w:p w14:paraId="39BB43B0" w14:textId="6AC0C466" w:rsidR="00A87596" w:rsidRPr="004675D3" w:rsidRDefault="00A87596" w:rsidP="00A87596">
      <w:pPr>
        <w:pStyle w:val="Caption"/>
        <w:keepNext/>
        <w:rPr>
          <w:rFonts w:ascii="Arial" w:hAnsi="Arial" w:cs="Arial"/>
        </w:rPr>
      </w:pPr>
      <w:bookmarkStart w:id="7" w:name="_Ref48152367"/>
      <w:bookmarkStart w:id="8" w:name="_Toc76122084"/>
      <w:r w:rsidRPr="004675D3">
        <w:rPr>
          <w:rFonts w:ascii="Arial" w:hAnsi="Arial" w:cs="Arial"/>
        </w:rPr>
        <w:t xml:space="preserve">Table </w:t>
      </w:r>
      <w:r w:rsidRPr="004675D3">
        <w:rPr>
          <w:rFonts w:ascii="Arial" w:hAnsi="Arial" w:cs="Arial"/>
        </w:rPr>
        <w:fldChar w:fldCharType="begin"/>
      </w:r>
      <w:r w:rsidRPr="004675D3">
        <w:rPr>
          <w:rFonts w:ascii="Arial" w:hAnsi="Arial" w:cs="Arial"/>
        </w:rPr>
        <w:instrText xml:space="preserve"> SEQ Table \* ARABIC </w:instrText>
      </w:r>
      <w:r w:rsidRPr="004675D3">
        <w:rPr>
          <w:rFonts w:ascii="Arial" w:hAnsi="Arial" w:cs="Arial"/>
        </w:rPr>
        <w:fldChar w:fldCharType="separate"/>
      </w:r>
      <w:r w:rsidR="007F3B3C">
        <w:rPr>
          <w:rFonts w:ascii="Arial" w:hAnsi="Arial" w:cs="Arial"/>
          <w:noProof/>
        </w:rPr>
        <w:t>2</w:t>
      </w:r>
      <w:r w:rsidRPr="004675D3">
        <w:rPr>
          <w:rFonts w:ascii="Arial" w:hAnsi="Arial" w:cs="Arial"/>
        </w:rPr>
        <w:fldChar w:fldCharType="end"/>
      </w:r>
      <w:bookmarkEnd w:id="7"/>
      <w:r w:rsidRPr="004675D3">
        <w:rPr>
          <w:rFonts w:ascii="Arial" w:hAnsi="Arial" w:cs="Arial"/>
        </w:rPr>
        <w:t xml:space="preserve"> Policy options classified under the sector ‘electricity and heat’</w:t>
      </w:r>
      <w:bookmarkEnd w:id="8"/>
    </w:p>
    <w:tbl>
      <w:tblPr>
        <w:tblStyle w:val="GridTable1Light-Accent31"/>
        <w:tblW w:w="5000" w:type="pct"/>
        <w:tblLook w:val="04A0" w:firstRow="1" w:lastRow="0" w:firstColumn="1" w:lastColumn="0" w:noHBand="0" w:noVBand="1"/>
      </w:tblPr>
      <w:tblGrid>
        <w:gridCol w:w="1828"/>
        <w:gridCol w:w="5361"/>
        <w:gridCol w:w="1827"/>
      </w:tblGrid>
      <w:tr w:rsidR="00A87596" w:rsidRPr="004675D3" w14:paraId="766F12C4" w14:textId="77777777" w:rsidTr="00A875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vAlign w:val="center"/>
          </w:tcPr>
          <w:p w14:paraId="60207D4B" w14:textId="77777777" w:rsidR="00A87596" w:rsidRPr="004675D3" w:rsidRDefault="00A87596" w:rsidP="00A87596">
            <w:pPr>
              <w:jc w:val="left"/>
              <w:rPr>
                <w:rFonts w:ascii="Arial" w:hAnsi="Arial" w:cs="Arial"/>
                <w:sz w:val="16"/>
                <w:szCs w:val="18"/>
              </w:rPr>
            </w:pPr>
            <w:r w:rsidRPr="004675D3">
              <w:rPr>
                <w:rFonts w:ascii="Arial" w:hAnsi="Arial" w:cs="Arial"/>
                <w:sz w:val="16"/>
                <w:szCs w:val="18"/>
              </w:rPr>
              <w:t>Policy option</w:t>
            </w:r>
          </w:p>
        </w:tc>
        <w:tc>
          <w:tcPr>
            <w:tcW w:w="2973" w:type="pct"/>
            <w:vAlign w:val="center"/>
          </w:tcPr>
          <w:p w14:paraId="59739597" w14:textId="77777777" w:rsidR="00A87596" w:rsidRPr="004675D3" w:rsidRDefault="00A87596" w:rsidP="00A87596">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Description</w:t>
            </w:r>
          </w:p>
        </w:tc>
        <w:tc>
          <w:tcPr>
            <w:tcW w:w="1013" w:type="pct"/>
            <w:vAlign w:val="center"/>
          </w:tcPr>
          <w:p w14:paraId="423E988C" w14:textId="77777777" w:rsidR="00A87596" w:rsidRPr="004675D3" w:rsidRDefault="00A87596" w:rsidP="00A87596">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Further information </w:t>
            </w:r>
          </w:p>
        </w:tc>
      </w:tr>
      <w:tr w:rsidR="00A87596" w:rsidRPr="004675D3" w14:paraId="3E24409D"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1E2FD63A" w14:textId="77777777" w:rsidR="00A87596" w:rsidRPr="004675D3" w:rsidRDefault="00A87596" w:rsidP="00A87596">
            <w:pPr>
              <w:jc w:val="left"/>
              <w:rPr>
                <w:rFonts w:ascii="Arial" w:hAnsi="Arial" w:cs="Arial"/>
                <w:sz w:val="16"/>
                <w:szCs w:val="18"/>
                <w:highlight w:val="yellow"/>
              </w:rPr>
            </w:pPr>
            <w:r w:rsidRPr="004675D3">
              <w:rPr>
                <w:rFonts w:ascii="Arial" w:eastAsia="Times New Roman" w:hAnsi="Arial" w:cs="Arial"/>
                <w:noProof/>
                <w:snapToGrid w:val="0"/>
                <w:color w:val="000000"/>
                <w:sz w:val="16"/>
                <w:szCs w:val="18"/>
                <w:lang w:eastAsia="ja-JP"/>
              </w:rPr>
              <w:t>Support for highly efficient power plant stock</w:t>
            </w:r>
          </w:p>
        </w:tc>
        <w:tc>
          <w:tcPr>
            <w:tcW w:w="2973" w:type="pct"/>
            <w:vAlign w:val="center"/>
          </w:tcPr>
          <w:p w14:paraId="2C3A2DA3"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Policies addressing energy efficiency for the electricity and heat sector, ensuring the phase-out of inefficient power plants.</w:t>
            </w:r>
          </w:p>
        </w:tc>
        <w:tc>
          <w:tcPr>
            <w:tcW w:w="1013" w:type="pct"/>
            <w:vAlign w:val="center"/>
          </w:tcPr>
          <w:p w14:paraId="4EF59364" w14:textId="26932A08"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{"citationItems":[{"id":"ITEM-1","itemData":{"author":[{"dropping-particle":"","family":"IEA","given":"","non-dropping-particle":"","parse-names":false,"suffix":""}],"id":"ITEM-1","issued":{"date-parts":[["2015"]]},"publisher":"International Energy Agency","publisher-place":"Paris, France","title":"Energy and climate change. World Energy Outlook Special Report.","type":"report"},"uris":["http://www.mendeley.com/documents/?uuid=bdb55b1e-84ff-46fc-9690-a4426dffefc0"]},{"id":"ITEM-2","itemData":{"author":[{"dropping-particle":"","family":"Somanathan","given":"E.","non-dropping-particle":"","parse-names":false,"suffix":""},{"dropping-particle":"","family":"Sterner","given":"T.","non-dropping-particle":"","parse-names":false,"suffix":""},{"dropping-particle":"","family":"Sugiyama","given":"T.","non-dropping-particle":"","parse-names":false,"suffix":""},{"dropping-particle":"","family":"Chimanikire","given":"D.","non-dropping-particle":"","parse-names":false,"suffix":""},{"dropping-particle":"","family":"Dubash","given":"N. K.","non-dropping-particle":"","parse-names":false,"suffix":""},{"dropping-particle":"","family":"Essandoh-Yeddu","given":"J.","non-dropping-particle":"","parse-names":false,"suffix":""},{"dropping-particle":"","family":"S. Fifita","given":"L. Goulder","non-dropping-particle":"","parse-names":false,"suffix":""},{"dropping-particle":"","family":"Jaffe","given":"A.","non-dropping-particle":"","parse-names":false,"suffix":""},{"dropping-particle":"","family":"Labandeira","given":"X.","non-dropping-particle":"","parse-names":false,"suffix":""},{"dropping-particle":"","family":"Managi","given":"S.","non-dropping-particle":"","parse-names":false,"suffix":""},{"dropping-particle":"","family":"Mitchell","given":"C.","non-dropping-particle":"","parse-names":false,"suffix":""},{"dropping-particle":"","family":"Montero","given":"J. P.","non-dropping-particle":"","parse-names":false,"suffix":""},{"dropping-particle":"","family":"Teng","given":"F.","non-dropping-particle":"","parse-names":false,"suffix":""},{"dropping-particle":"","family":"Zylicz","given":"T.","non-dropping-particle":"","parse-names":false,"suffix":""}],"chapter-number":"15","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S.Kadner","given":"","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-2","issued":{"date-parts":[["2014"]]},"publisher":"Cambridge University Press","publisher-place":"Cambridge, United Kingdom and New York, NY, USA","title":"National and Sub-national Policies and Institutions","type":"report"},"uris":["http://www.mendeley.com/documents/?uuid=7e870f82-b225-4d10-acc6-0ed2d4bc80f5"]},{"id":"ITEM-3","itemData":{"DOI":"10.18356/ff6d1a84-en","ISBN":"9789280737660","author":[{"dropping-particle":"","family":"UNEP","given":"","non-dropping-particle":"","parse-names":false,"suffix":""}],"id":"ITEM-3","issued":{"date-parts":[["2019"]]},"publisher":"United Nations Environment Programme","publisher-place":"Nairobi, Kenya","title":"Emissions Gap Report 2019","type":"report"},"uris":["http://www.mendeley.com/documents/?uuid=0ca6f941-4554-4888-9ab9-13fc13544d43"]},{"id":"ITEM-4","itemData":{"DOI":"10.1049/ep.1977.0180","ISBN":"0872625710","ISSN":"03671119","author":[{"dropping-particle":"","family":"IEA","given":"","non-dropping-particle":"","parse-names":false,"suffix":""}],"id":"ITEM-4","issued":{"date-parts":[["2019"]]},"number-of-pages":"1-810","publisher":"International Energy Agency (IEA)","publisher-place":"Paris, France","title":"World Energy Outlook","type":"book"},"uris":["http://www.mendeley.com/documents/?uuid=bf82544b-89fe-4503-a730-22cb948bfbeb"]}],"mendeley":{"formattedCitation":"(Somanathan &lt;i&gt;et al.&lt;/i&gt;, 2014; IEA, 2015, 2019; UNEP, 2019)","plainTextFormattedCitation":"(Somanathan et al., 2014; IEA, 2015, 2019; UNEP, 2019)","previouslyFormattedCitation":"(Somanathan &lt;i&gt;et al.&lt;/i&gt;, 2014; IEA, 2015, 2019; UNEP, 2019)"},"properties":{"noteIndex":0},"schema":"https://github.com/citation-style-language/schema/raw/master/csl-citation.json"}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(Somanathan </w:t>
            </w:r>
            <w:r w:rsidR="009D4BA6" w:rsidRPr="004675D3">
              <w:rPr>
                <w:rFonts w:ascii="Arial" w:hAnsi="Arial" w:cs="Arial"/>
                <w:i/>
                <w:noProof/>
                <w:sz w:val="16"/>
                <w:szCs w:val="18"/>
              </w:rPr>
              <w:t>et al.</w:t>
            </w:r>
            <w:r w:rsidR="009D4BA6" w:rsidRPr="004675D3">
              <w:rPr>
                <w:rFonts w:ascii="Arial" w:hAnsi="Arial" w:cs="Arial"/>
                <w:noProof/>
                <w:sz w:val="16"/>
                <w:szCs w:val="18"/>
              </w:rPr>
              <w:t>, 2014; IEA, 2015, 2019; UNEP, 2019)</w:t>
            </w:r>
            <w:r w:rsidRPr="004675D3">
              <w:rPr>
                <w:rFonts w:ascii="Arial" w:hAnsi="Arial" w:cs="Arial"/>
                <w:sz w:val="16"/>
                <w:szCs w:val="18"/>
              </w:rPr>
              <w:fldChar w:fldCharType="end"/>
            </w:r>
          </w:p>
        </w:tc>
      </w:tr>
      <w:tr w:rsidR="00A87596" w:rsidRPr="004675D3" w14:paraId="644D3EC6"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0FCFA659" w14:textId="77777777" w:rsidR="00A87596" w:rsidRPr="004675D3" w:rsidRDefault="00A87596" w:rsidP="00A87596">
            <w:pPr>
              <w:jc w:val="left"/>
              <w:rPr>
                <w:rFonts w:ascii="Arial" w:hAnsi="Arial" w:cs="Arial"/>
                <w:sz w:val="16"/>
                <w:szCs w:val="18"/>
                <w:highlight w:val="yellow"/>
              </w:rPr>
            </w:pPr>
            <w:r w:rsidRPr="004675D3">
              <w:rPr>
                <w:rFonts w:ascii="Arial" w:eastAsia="Times New Roman" w:hAnsi="Arial" w:cs="Arial"/>
                <w:noProof/>
                <w:snapToGrid w:val="0"/>
                <w:color w:val="000000"/>
                <w:sz w:val="16"/>
                <w:szCs w:val="18"/>
                <w:lang w:eastAsia="ja-JP"/>
              </w:rPr>
              <w:t>Energy reduction obligation schemes</w:t>
            </w:r>
          </w:p>
        </w:tc>
        <w:tc>
          <w:tcPr>
            <w:tcW w:w="2973" w:type="pct"/>
            <w:vAlign w:val="center"/>
          </w:tcPr>
          <w:p w14:paraId="2C2D599C"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Schemes where electricity producers must ensure energy savings internally or support energy use reduction of end-users.</w:t>
            </w:r>
          </w:p>
        </w:tc>
        <w:tc>
          <w:tcPr>
            <w:tcW w:w="1013" w:type="pct"/>
            <w:vAlign w:val="center"/>
          </w:tcPr>
          <w:p w14:paraId="62D36EC4" w14:textId="713A0ECE"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{"citationItems":[{"id":"ITEM-1","itemData":{"author":[{"dropping-particle":"","family":"UNFCCC","given":"","non-dropping-particle":"","parse-names":false,"suffix":""}],"id":"ITEM-1","issued":{"date-parts":[["2015"]]},"publisher":"United Nations Framework Convention on Climate Change","publisher-place":"Bonn, Germany","title":"Mitigation benefits of actions , initiatives and options to enhance mitigation ambition. Technical paper 2015","type":"report"},"uris":["http://www.mendeley.com/documents/?uuid=3d9000a5-7715-452b-b155-91aed9c35bbc"]},{"id":"ITEM-2","itemData":{"abstract":"This updated technical paper compiles information on the mitigation and sustainable development benefits of actions, initiatives and options to enhance mitigation ambition, with a focus on the thematic areas of renewable energy and energy efficiency. Information for the update was provided in submissions from Parties and observer organizations and at the technical expert meetings held during the fourth part of the second session of the Ad Hoc Working Group on the Durban Platform for Enhanced Action, held in March 2014 in Bonn, Germany. This technical paper builds on the second version thereof, contained in document FCCC/TP/2013/8 and its two addenda FCCC/TP/2013/8/Add.1 and 2, and consists of the main document and an addendum. The addendum is focused on mitigation action in the thematic areas of renewable energy and energy efficiency and elaborates on mitigation potential, progress, benefits, costs and barriers, as well as on good practice policies, key opportunities and options for catalysing action in those two thematic areas.","author":[{"dropping-particle":"","family":"UNFCCC","given":"","non-dropping-particle":"","parse-names":false,"suffix":""}],"id":"ITEM-2","issued":{"date-parts":[["2014"]]},"publisher":"United Nations Framework Convention on Climate Change","publisher-place":"Bonn,Germany","title":"Updated compilation of information on mitigation benefits of actions, initiatives and options to enhance mitigation ambition. Technical paper FCCC/TP/2014/03","type":"report"},"uris":["http://www.mendeley.com/documents/?uuid=cdb766cb-9713-4f39-b7a6-f0b5cef42575"]}],"mendeley":{"formattedCitation":"(UNFCCC, 2014b, 2015)","plainTextFormattedCitation":"(UNFCCC, 2014b, 2015)","previouslyFormattedCitation":"(UNFCCC, 2014b, 2015)"},"properties":{"noteIndex":0},"schema":"https://github.com/citation-style-language/schema/raw/master/csl-citation.json"}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(UNFCCC, 2014b, 2015)</w:t>
            </w:r>
            <w:r w:rsidRPr="004675D3">
              <w:rPr>
                <w:rFonts w:ascii="Arial" w:hAnsi="Arial" w:cs="Arial"/>
                <w:sz w:val="16"/>
                <w:szCs w:val="18"/>
              </w:rPr>
              <w:fldChar w:fldCharType="end"/>
            </w:r>
          </w:p>
        </w:tc>
      </w:tr>
      <w:tr w:rsidR="00A87596" w:rsidRPr="004675D3" w14:paraId="7015E62B"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026E2F83" w14:textId="77777777" w:rsidR="00A87596" w:rsidRPr="004675D3" w:rsidRDefault="00A87596" w:rsidP="00A87596">
            <w:pPr>
              <w:jc w:val="left"/>
              <w:rPr>
                <w:rFonts w:ascii="Arial" w:hAnsi="Arial" w:cs="Arial"/>
                <w:sz w:val="16"/>
                <w:szCs w:val="18"/>
              </w:rPr>
            </w:pPr>
            <w:r w:rsidRPr="004675D3">
              <w:rPr>
                <w:rFonts w:ascii="Arial" w:eastAsia="Times New Roman" w:hAnsi="Arial" w:cs="Arial"/>
                <w:noProof/>
                <w:snapToGrid w:val="0"/>
                <w:color w:val="000000"/>
                <w:sz w:val="16"/>
                <w:szCs w:val="18"/>
                <w:lang w:eastAsia="ja-JP"/>
              </w:rPr>
              <w:t>Renewable energy target for electricity sector</w:t>
            </w:r>
          </w:p>
        </w:tc>
        <w:tc>
          <w:tcPr>
            <w:tcW w:w="2973" w:type="pct"/>
            <w:vAlign w:val="center"/>
          </w:tcPr>
          <w:p w14:paraId="5821788C"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Renewable electricity targets that support policy making, </w:t>
            </w:r>
            <w:proofErr w:type="gramStart"/>
            <w:r w:rsidRPr="004675D3">
              <w:rPr>
                <w:rFonts w:ascii="Arial" w:hAnsi="Arial" w:cs="Arial"/>
                <w:sz w:val="16"/>
                <w:szCs w:val="18"/>
              </w:rPr>
              <w:t>i.e.</w:t>
            </w:r>
            <w:proofErr w:type="gramEnd"/>
            <w:r w:rsidRPr="004675D3">
              <w:rPr>
                <w:rFonts w:ascii="Arial" w:hAnsi="Arial" w:cs="Arial"/>
                <w:sz w:val="16"/>
                <w:szCs w:val="18"/>
              </w:rPr>
              <w:t xml:space="preserve"> formulation, implementation, as well as monitoring and evaluation of renewable uptake.</w:t>
            </w:r>
          </w:p>
        </w:tc>
        <w:tc>
          <w:tcPr>
            <w:tcW w:w="1013" w:type="pct"/>
            <w:vAlign w:val="center"/>
          </w:tcPr>
          <w:p w14:paraId="171A8967" w14:textId="1212A592"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ISBN":"9780987382801","author":[{"dropping-particle":"","family":"IRENA","given":"","non-dropping-particle":"","parse-names":false,"suffix":""}],"id":"ITEM-1","issue":"June","issued":{"date-parts":[["2015"]]},"number-of-pages":"80","publisher":"International Renewable Energy Agency","publisher-place":"Abu Dhabi, United Arab Emirates","title":"Renewable Energy Target Setting","type":"report"},"uris":["http://www.mendeley.com/documents/?uuid=c2b0cf1b-dac3-41f7-8a98-fcd15d8b84d3"]},{"id":"ITEM-2","itemData":{"ISBN":"9783981891133","author":[{"dropping-particle":"","family":"REN21","given":"","non-dropping-particle":"","parse-names":false,"suffix":""}],"id":"ITEM-2","issued":{"date-parts":[["2018"]]},"publisher":"REN21","publisher-place":"Paris, France, France","title":"Renewables 2018 global status report","type":"report"},"uris":["http://www.mendeley.com/documents/?uuid=b15bb8f9-2bda-4978-acdc-416594f1a654"]}],"mendeley":{"formattedCitation":"(IRENA, 2015; REN21, 2018)","plainTextFormattedCitation":"(IRENA, 2015; REN21, 2018)","previouslyFormattedCitation":"(IRENA, 2015; REN21,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(IRENA, 2015; REN21, 2018)</w:t>
            </w:r>
            <w:r w:rsidRPr="004675D3">
              <w:rPr>
                <w:rFonts w:ascii="Arial" w:hAnsi="Arial" w:cs="Arial"/>
                <w:sz w:val="16"/>
                <w:szCs w:val="18"/>
              </w:rPr>
              <w:fldChar w:fldCharType="end"/>
            </w:r>
          </w:p>
        </w:tc>
      </w:tr>
      <w:tr w:rsidR="00A87596" w:rsidRPr="004675D3" w14:paraId="2F76D40F"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132BF0D7" w14:textId="77777777" w:rsidR="00A87596" w:rsidRPr="004675D3" w:rsidRDefault="00A87596" w:rsidP="00A87596">
            <w:pPr>
              <w:spacing w:line="240" w:lineRule="auto"/>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Support scheme for renewables</w:t>
            </w:r>
          </w:p>
        </w:tc>
        <w:tc>
          <w:tcPr>
            <w:tcW w:w="2973" w:type="pct"/>
            <w:vAlign w:val="center"/>
          </w:tcPr>
          <w:p w14:paraId="17C32D44"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Incentives to increase the share of renewables in the grid via increasing cost-effectiveness, </w:t>
            </w:r>
            <w:proofErr w:type="gramStart"/>
            <w:r w:rsidRPr="004675D3">
              <w:rPr>
                <w:rFonts w:ascii="Arial" w:hAnsi="Arial" w:cs="Arial"/>
                <w:sz w:val="16"/>
                <w:szCs w:val="18"/>
              </w:rPr>
              <w:t>allowing</w:t>
            </w:r>
            <w:proofErr w:type="gramEnd"/>
            <w:r w:rsidRPr="004675D3">
              <w:rPr>
                <w:rFonts w:ascii="Arial" w:hAnsi="Arial" w:cs="Arial"/>
                <w:sz w:val="16"/>
                <w:szCs w:val="18"/>
              </w:rPr>
              <w:t xml:space="preserve"> or facilitating grid integration as well as direct government investments.</w:t>
            </w:r>
          </w:p>
        </w:tc>
        <w:tc>
          <w:tcPr>
            <w:tcW w:w="1013" w:type="pct"/>
            <w:vAlign w:val="center"/>
          </w:tcPr>
          <w:p w14:paraId="35AC5648" w14:textId="4FA09B4C"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{"citationItems":[{"id":"ITEM-1","itemData":{"author":[{"dropping-particle":"","family":"IEA","given":"","non-dropping-particle":"","parse-names":false,"suffix":""}],"id":"ITEM-1","issued":{"date-parts":[["2015"]]},"publisher":"International Energy Agency","publisher-place":"Paris, France","title":"Energy and climate change. World Energy Outlook Special Report.","type":"report"},"uris":["http://www.mendeley.com/documents/?uuid=bdb55b1e-84ff-46fc-9690-a4426dffefc0"]},{"id":"ITEM-2","itemData":{"ISBN":"9781107654815","author":[{"dropping-particle":"","family":"IPCC","given":"","non-dropping-particle":"","parse-names":false,"suffix":""}],"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Kadner","given":"S.","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-2","issued":{"date-parts":[["2014"]]},"publisher":"Cambridge University Press","publisher-place":"Cambridge, UK and New York, NY","title":"Summary for Policymakers","type":"report"},"uris":["http://www.mendeley.com/documents/?uuid=bae1ec7b-5715-4250-a1a4-b415b93c982f"]},{"id":"ITEM-3","itemData":{"DOI":"10.1007/s10640-016-0025-3","ISBN":"09246460","ISSN":"15731502","PMID":"1957703385","abstract":"This study analyzes the degree to which renewable energy policies, in particular feed-in tariffs and renewable portfolio standards, facilitate renewable energy generation growth across a wide range of countries using an original cross-national dataset of 164 countries between 1990 and 2010. Results provide evidence that both policies are important predictors of renewable energy market growth. The dependent variable is operationalized first as the percentage of total electricity from renewable energy and second as the annual increase in total renewable energy generation in a country. Results are robust to several alternative model specifications including those that exclude hydroelectric generation in the construct of renewable energy. The degree to which feed-in tariffs are endogenous, however, is not conclusive. Besides the prominent role of these policies, results reveal that factors related to annual increases in renewable energy differ from those related to an overall transition toward greater reliance on renewable energy. This suggests that simply increasing renewable generation does not necessarily decrease reliance on fossil fuels or help countries make the shift to a clean energy economy.","author":[{"dropping-particle":"","family":"Carley","given":"Sanya","non-dropping-particle":"","parse-names":false,"suffix":""},{"dropping-particle":"","family":"Baldwin","given":"Elizabeth","non-dropping-particle":"","parse-names":false,"suffix":""},{"dropping-particle":"","family":"MacLean","given":"Lauren M.","non-dropping-particle":"","parse-names":false,"suffix":""},{"dropping-particle":"","family":"Brass","given":"Jennifer N.","non-dropping-particle":"","parse-names":false,"suffix":""}],"container-title":"Environmental and Resource Economics","id":"ITEM-3","issue":"2","issued":{"date-parts":[["2017"]]},"page":"397-440","publisher":"Springer Netherlands","title":"Global Expansion of Renewable Energy Generation: An Analysis of Policy Instruments","type":"article-journal","volume":"68"},"uris":["http://www.mendeley.com/documents/?uuid=3cc68cdc-1669-4d81-8351-595a63fc5b3b"]},{"id":"ITEM-4","itemData":{"author":[{"dropping-particle":"","family":"UNFCCC","given":"","non-dropping-particle":"","parse-names":false,"suffix":""}],"id":"ITEM-4","issued":{"date-parts":[["2018"]]},"publisher":"United Nations Framework Convention on Climate Change","publisher-place":"Bonn, Germany","title":"Talanoa dialogue for climate ambition. Synthesis of the preparatory phase 19/11/2018","type":"report"},"uris":["http://www.mendeley.com/documents/?uuid=11a21a65-a2bc-4057-96bd-68a0b8aeea75"]},{"id":"ITEM-5","itemData":{"DOI":"10.1049/ep.1977.0180","ISBN":"0872625710","ISSN":"03671119","author":[{"dropping-particle":"","family":"IEA","given":"","non-dropping-particle":"","parse-names":false,"suffix":""}],"id":"ITEM-5","issued":{"date-parts":[["2019"]]},"number-of-pages":"1-810","publisher":"International Energy Agency (IEA)","publisher-place":"Paris, France","title":"World Energy Outlook","type":"book"},"uris":["http://www.mendeley.com/documents/?uuid=bf82544b-89fe-4503-a730-22cb948bfbeb"]}],"mendeley":{"formattedCitation":"(IPCC, 2014; IEA, 2015, 2019; Carley &lt;i&gt;et al.&lt;/i&gt;, 2017; UNFCCC, 2018)","plainTextFormattedCitation":"(IPCC, 2014; IEA, 2015, 2019; Carley et al., 2017; UNFCCC, 2018)","previouslyFormattedCitation":"(IPCC, 2014; IEA, 2015, 2019; Carley &lt;i&gt;et al.&lt;/i&gt;, 2017; UNFCCC,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(IPCC, 2014; IEA, 2015, 2019; Carley </w:t>
            </w:r>
            <w:r w:rsidR="009D4BA6" w:rsidRPr="004675D3">
              <w:rPr>
                <w:rFonts w:ascii="Arial" w:hAnsi="Arial" w:cs="Arial"/>
                <w:i/>
                <w:noProof/>
                <w:sz w:val="16"/>
                <w:szCs w:val="18"/>
              </w:rPr>
              <w:t>et al.</w:t>
            </w:r>
            <w:r w:rsidR="009D4BA6" w:rsidRPr="004675D3">
              <w:rPr>
                <w:rFonts w:ascii="Arial" w:hAnsi="Arial" w:cs="Arial"/>
                <w:noProof/>
                <w:sz w:val="16"/>
                <w:szCs w:val="18"/>
              </w:rPr>
              <w:t>, 2017; UNFCCC, 2018)</w:t>
            </w:r>
            <w:r w:rsidRPr="004675D3">
              <w:rPr>
                <w:rFonts w:ascii="Arial" w:hAnsi="Arial" w:cs="Arial"/>
                <w:sz w:val="16"/>
                <w:szCs w:val="18"/>
              </w:rPr>
              <w:fldChar w:fldCharType="end"/>
            </w:r>
          </w:p>
        </w:tc>
      </w:tr>
      <w:tr w:rsidR="00A87596" w:rsidRPr="004675D3" w14:paraId="0BD6CE1F"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7CB21D5C" w14:textId="77777777" w:rsidR="00A87596" w:rsidRPr="004675D3" w:rsidRDefault="00A87596" w:rsidP="00A87596">
            <w:pPr>
              <w:jc w:val="left"/>
              <w:rPr>
                <w:rFonts w:ascii="Arial" w:hAnsi="Arial" w:cs="Arial"/>
                <w:sz w:val="16"/>
                <w:szCs w:val="18"/>
              </w:rPr>
            </w:pPr>
            <w:r w:rsidRPr="004675D3">
              <w:rPr>
                <w:rFonts w:ascii="Arial" w:eastAsia="Times New Roman" w:hAnsi="Arial" w:cs="Arial"/>
                <w:noProof/>
                <w:snapToGrid w:val="0"/>
                <w:color w:val="000000"/>
                <w:sz w:val="16"/>
                <w:szCs w:val="18"/>
                <w:lang w:eastAsia="ja-JP"/>
              </w:rPr>
              <w:t>Grid infrastructure development and electricity storage</w:t>
            </w:r>
          </w:p>
        </w:tc>
        <w:tc>
          <w:tcPr>
            <w:tcW w:w="2973" w:type="pct"/>
            <w:vAlign w:val="center"/>
          </w:tcPr>
          <w:p w14:paraId="581D516D"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Measures for the development of the electricity grid and storage, allowing installation of high shares of variable renewable electricity, such as solar PV and wind, in the system.</w:t>
            </w:r>
          </w:p>
        </w:tc>
        <w:tc>
          <w:tcPr>
            <w:tcW w:w="1013" w:type="pct"/>
            <w:vAlign w:val="center"/>
          </w:tcPr>
          <w:p w14:paraId="77C997F0" w14:textId="7A9BF3B6"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{"citationItems":[{"id":"ITEM-1","itemData":{"abstract":"T he power sector globally is accelerating its transition towards a sustainable energy regime. Since 2011, over 100 gigawatts (GW) of annual capacity additions have been from renewables - more than fossil fuel and nuclear power additions combined. The share of renewables in total electricity production in 2014 exceeded 22%. Hydropower accounted for 16.4% and variable renewable energy (VRE) for 3.6% i.e. solar photovoltaic (PV) and wind. A number of countries already have a significantly higher individual share of VRE than the global figure. Denmark, Spain, Ireland and Germany, for example, each have a share of more than 15%. The International Renewable Energy Agency (IRENA) analysis also indicates that the global share of VRE can be expected to increase by as much as 20% by 2030. Grid codes are essential for the successful integration of VRE. For the operation of power systems, VRE generators pose challenges that contrast with conventional generation. In response to these challenges, VRE generation technology is rapidly developing, accompanied by enabling technologies like storage and control systems, and facilitating new operational practices for power systems. These technological and operational developments create greater flexibility for operating electricity networks and enable a higher share of VRE. Some rules have to be established for all actors to ensure that electricity service for consumers secure while deploying new technologies and adopting new operational practices. If VRE is to be successfully integrated into electricity networks, then all three components need to be considered: technology, operation and regulation.","author":[{"dropping-particle":"","family":"IRENA","given":"","non-dropping-particle":"","parse-names":false,"suffix":""}],"id":"ITEM-1","issued":{"date-parts":[["2016"]]},"number-of-pages":"106","title":"Scaling Up Variable Renewable Power: The Role of Grid Codes","type":"report"},"uris":["http://www.mendeley.com/documents/?uuid=01e40875-c5af-4b03-8d40-348244dbe8cb"]},{"id":"ITEM-2","itemData":{"DOI":"10.1016/j.rser.2015.01.057","ISBN":"13640321","ISSN":"13640321","abstract":"The paper reviews different approaches, technologies, and strategies to manage large-scale schemes of variable renewable electricity such as solar and wind power. We consider both supply and demand side measures. In addition to presenting energy system flexibility measures, their importance to renewable electricity is discussed. The flexibility measures available range from traditional ones such as grid extension or pumped hydro storage to more advanced strategies such as demand side management and demand side linked approaches, e.g. the use of electric vehicles for storing excess electricity, but also providing grid support services. Advanced batteries may offer new solutions in the future, though the high costs associated with batteries may restrict their use to smaller scale applications. Different \"P2Y\"-type of strategies, where P stands for surplus renewable power and Y for the energy form or energy service to which this excess in converted to, e.g. thermal energy, hydrogen, gas or mobility are receiving much attention as potential flexibility solutions, making use of the energy system as a whole. To \"functionalize\" or to assess the value of the various energy system flexibility measures, these need often be put into an electricity/energy market or utility service context. Summarizing, the outlook for managing large amounts of RE power in terms of options available seems to be promising.","author":[{"dropping-particle":"","family":"Lund","given":"Peter D.","non-dropping-particle":"","parse-names":false,"suffix":""},{"dropping-particle":"","family":"Lindgren","given":"Juuso","non-dropping-particle":"","parse-names":false,"suffix":""},{"dropping-particle":"","family":"Mikkola","given":"Jani","non-dropping-particle":"","parse-names":false,"suffix":""},{"dropping-particle":"","family":"Salpakari","given":"Jyri","non-dropping-particle":"","parse-names":false,"suffix":""},{"dropping-particle":"","family":"Lindgred","given":"Juuso","non-dropping-particle":"","parse-names":false,"suffix":""},{"dropping-particle":"","family":"Mikkola","given":"Jani","non-dropping-particle":"","parse-names":false,"suffix":""},{"dropping-particle":"","family":"Salpakari","given":"Jyri","non-dropping-particle":"","parse-names":false,"suffix":""}],"container-title":"Renewable and Sustainable Energy Reviews","id":"ITEM-2","issued":{"date-parts":[["2015"]]},"page":"785-807","publisher":"Elsevier","title":"Review of energy system flexibility measures to enable high levels of variable renewable electricity","type":"article-journal","volume":"45"},"uris":["http://www.mendeley.com/documents/?uuid=e80e1460-f1b9-48d2-b5ba-adf1dff39d81"]},{"id":"ITEM-3","itemData":{"ISBN":"9789292600617","author":[{"dropping-particle":"","family":"IRENA","given":"","non-dropping-particle":"","parse-names":false,"suffix":""},{"dropping-particle":"","family":"IEA","given":"","non-dropping-particle":"","parse-names":false,"suffix":""},{"dropping-particle":"","family":"REN21","given":"","non-dropping-particle":"","parse-names":false,"suffix":""}],"id":"ITEM-3","issued":{"date-parts":[["2018"]]},"title":"Renewable Energy Policies in a Time of Transition","type":"report"},"uris":["http://www.mendeley.com/documents/?uuid=8d4246fa-51f6-46ad-b296-921f4e983dc7"]}],"mendeley":{"formattedCitation":"(Lund &lt;i&gt;et al.&lt;/i&gt;, 2015; IRENA, 2016; IRENA, IEA and REN21, 2018)","plainTextFormattedCitation":"(Lund et al., 2015; IRENA, 2016; IRENA, IEA and REN21, 2018)","previouslyFormattedCitation":"(Lund &lt;i&gt;et al.&lt;/i&gt;, 2015; IRENA, 2016; IRENA, IEA and REN21,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(Lund </w:t>
            </w:r>
            <w:r w:rsidR="009D4BA6" w:rsidRPr="004675D3">
              <w:rPr>
                <w:rFonts w:ascii="Arial" w:hAnsi="Arial" w:cs="Arial"/>
                <w:i/>
                <w:noProof/>
                <w:sz w:val="16"/>
                <w:szCs w:val="18"/>
              </w:rPr>
              <w:t>et al.</w:t>
            </w:r>
            <w:r w:rsidR="009D4BA6" w:rsidRPr="004675D3">
              <w:rPr>
                <w:rFonts w:ascii="Arial" w:hAnsi="Arial" w:cs="Arial"/>
                <w:noProof/>
                <w:sz w:val="16"/>
                <w:szCs w:val="18"/>
              </w:rPr>
              <w:t>, 2015; IRENA, 2016; IRENA, IEA and REN21, 2018)</w:t>
            </w:r>
            <w:r w:rsidRPr="004675D3">
              <w:rPr>
                <w:rFonts w:ascii="Arial" w:hAnsi="Arial" w:cs="Arial"/>
                <w:sz w:val="16"/>
                <w:szCs w:val="18"/>
              </w:rPr>
              <w:fldChar w:fldCharType="end"/>
            </w:r>
            <w:r w:rsidRPr="004675D3">
              <w:rPr>
                <w:rFonts w:ascii="Arial" w:hAnsi="Arial" w:cs="Arial"/>
                <w:sz w:val="16"/>
                <w:szCs w:val="18"/>
              </w:rPr>
              <w:t>.</w:t>
            </w:r>
          </w:p>
        </w:tc>
      </w:tr>
      <w:tr w:rsidR="00A87596" w:rsidRPr="004675D3" w14:paraId="24A4FAB7"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4AAE3F85" w14:textId="77777777" w:rsidR="00A87596" w:rsidRPr="004675D3" w:rsidRDefault="00A87596" w:rsidP="00A87596">
            <w:pPr>
              <w:jc w:val="left"/>
              <w:rPr>
                <w:rFonts w:ascii="Arial" w:hAnsi="Arial" w:cs="Arial"/>
                <w:sz w:val="16"/>
                <w:szCs w:val="18"/>
                <w:highlight w:val="yellow"/>
              </w:rPr>
            </w:pPr>
            <w:r w:rsidRPr="004675D3">
              <w:rPr>
                <w:rFonts w:ascii="Arial" w:eastAsia="Times New Roman" w:hAnsi="Arial" w:cs="Arial"/>
                <w:noProof/>
                <w:snapToGrid w:val="0"/>
                <w:color w:val="000000"/>
                <w:sz w:val="16"/>
                <w:szCs w:val="18"/>
                <w:lang w:eastAsia="ja-JP"/>
              </w:rPr>
              <w:t>Emission-intensive phase-out policies</w:t>
            </w:r>
          </w:p>
        </w:tc>
        <w:tc>
          <w:tcPr>
            <w:tcW w:w="2973" w:type="pct"/>
            <w:vAlign w:val="center"/>
          </w:tcPr>
          <w:p w14:paraId="19C7BD5E"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Policies setting a strategic plan for the phase out of emissions-intensive technologies, primarily coal- and oil-fired technologies. </w:t>
            </w:r>
          </w:p>
        </w:tc>
        <w:tc>
          <w:tcPr>
            <w:tcW w:w="1013" w:type="pct"/>
            <w:vAlign w:val="center"/>
          </w:tcPr>
          <w:p w14:paraId="1EB86FC7" w14:textId="398528D5"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DOI":"https://doi.org/10.1088/1748-9326/aac4f1","author":[{"dropping-particle":"","family":"Kriegler","given":"E.","non-dropping-particle":"","parse-names":false,"suffix":""},{"dropping-particle":"","family":"Bertram","given":"C.","non-dropping-particle":"","parse-names":false,"suffix":""},{"dropping-particle":"","family":"Kuramochi","given":"T.","non-dropping-particle":"","parse-names":false,"suffix":""},{"dropping-particle":"","family":"Jakob","given":"M.","non-dropping-particle":"","parse-names":false,"suffix":""},{"dropping-particle":"","family":"Pehl","given":"M.","non-dropping-particle":"","parse-names":false,"suffix":""},{"dropping-particle":"","family":"Stevanović","given":"M.","non-dropping-particle":"","parse-names":false,"suffix":""},{"dropping-particle":"","family":"Fekete","given":"H.","non-dropping-particle":"","parse-names":false,"suffix":""},{"dropping-particle":"","family":"Hilaire","given":"J.","non-dropping-particle":"","parse-names":false,"suffix":""},{"dropping-particle":"","family":"Höhne","given":"N.","non-dropping-particle":"","parse-names":false,"suffix":""},{"dropping-particle":"","family":"Luderer","given":"G.","non-dropping-particle":"","parse-names":false,"suffix":""},{"dropping-particle":"","family":"Luna","given":"L.","non-dropping-particle":"","parse-names":false,"suffix":""},{"dropping-particle":"","family":"Minx","given":"J.","non-dropping-particle":"","parse-names":false,"suffix":""},{"dropping-particle":"","family":"Popp","given":"A.","non-dropping-particle":"","parse-names":false,"suffix":""},{"dropping-particle":"","family":"Steckel","given":"J.","non-dropping-particle":"","parse-names":false,"suffix":""},{"dropping-particle":"","family":"Sterl.","given":"S.","non-dropping-particle":"","parse-names":false,"suffix":""},{"dropping-particle":"","family":"Yalew","given":"A.W.","non-dropping-particle":"","parse-names":false,"suffix":""},{"dropping-particle":"","family":"Dietrich","given":"J.-P.","non-dropping-particle":"","parse-names":false,"suffix":""},{"dropping-particle":"","family":"Edenhofer","given":"O.","non-dropping-particle":"","parse-names":false,"suffix":""}],"container-title":"Environmental Research Letters","id":"ITEM-1","issue":"7","issued":{"date-parts":[["2018"]]},"title":"Short term policies to keep the door open for Paris climate goals","type":"article-journal","volume":"13"},"uris":["http://www.mendeley.com/documents/?uuid=e07e0385-b457-4c92-b16f-92d09ba31615"]},{"id":"ITEM-2","itemData":{"DOI":"10.1080/14693062.2017.1397495","ISSN":"1469-3062","author":[{"dropping-particle":"","family":"Kuramochi","given":"Takeshi","non-dropping-particle":"","parse-names":false,"suffix":""},{"dropping-particle":"","family":"Höhne","given":"Niklas","non-dropping-particle":"","parse-names":false,"suffix":""},{"dropping-particle":"","family":"Schaeffer","given":"Michiel","non-dropping-particle":"","parse-names":false,"suffix":""},{"dropping-particle":"","family":"Cantzler","given":"Jasmin","non-dropping-particle":"","parse-names":false,"suffix":""},{"dropping-particle":"","family":"Hare","given":"Bill","non-dropping-particle":"","parse-names":false,"suffix":""},{"dropping-particle":"","family":"Deng","given":"Yvonne","non-dropping-particle":"","parse-names":false,"suffix":""},{"dropping-particle":"","family":"Sterl","given":"Sebastian","non-dropping-particle":"","parse-names":false,"suffix":""},{"dropping-particle":"","family":"Hagemann","given":"Markus","non-dropping-particle":"","parse-names":false,"suffix":""},{"dropping-particle":"","family":"Rocha","given":"Marcia","non-dropping-particle":"","parse-names":false,"suffix":""},{"dropping-particle":"","family":"Yanguas-Parra","given":"Paola Andrea","non-dropping-particle":"","parse-names":false,"suffix":""},{"dropping-particle":"","family":"Mir","given":"Goher-Ur-Rehman","non-dropping-particle":"","parse-names":false,"suffix":""},{"dropping-particle":"","family":"Wong","given":"Lindee","non-dropping-particle":"","parse-names":false,"suffix":""},{"dropping-particle":"","family":"El-Laboudy","given":"Tarik","non-dropping-particle":"","parse-names":false,"suffix":""},{"dropping-particle":"","family":"Wouters","given":"Karlien","non-dropping-particle":"","parse-names":false,"suffix":""},{"dropping-particle":"","family":"Deryng","given":"Delphine","non-dropping-particle":"","parse-names":false,"suffix":""},{"dropping-particle":"","family":"Blok","given":"Kornelis","non-dropping-particle":"","parse-names":false,"suffix":""}],"container-title":"Climate Policy","id":"ITEM-2","issue":"3","issued":{"date-parts":[["2018","3","16"]]},"page":"287-305","title":"Ten key short-term sectoral benchmarks to limit warming to 1.5°C","type":"article-journal","volume":"18"},"uris":["http://www.mendeley.com/documents/?uuid=3032dc5f-5e33-4133-9cfd-4e1dfff78e31"]},{"id":"ITEM-3","itemData":{"DOI":"10.1038/s41558-020-0866-1","ISSN":"1758-6798","abstract":"Phasing out coal requires expanding the notion of a ‘just transition’ and a roadmap that specifies the sequence of coal plant retirement, the appropriate policy instruments as well as ways to include key stakeholders in the process.","author":[{"dropping-particle":"","family":"Jakob","given":"Michael","non-dropping-particle":"","parse-names":false,"suffix":""},{"dropping-particle":"","family":"Steckel","given":"Jan Christoph","non-dropping-particle":"","parse-names":false,"suffix":""},{"dropping-particle":"","family":"Jotzo","given":"Frank","non-dropping-particle":"","parse-names":false,"suffix":""},{"dropping-particle":"","family":"Sovacool","given":"Benjamin K","non-dropping-particle":"","parse-names":false,"suffix":""},{"dropping-particle":"","family":"Cornelsen","given":"Laura","non-dropping-particle":"","parse-names":false,"suffix":""},{"dropping-particle":"","family":"Chandra","given":"Rohit","non-dropping-particle":"","parse-names":false,"suffix":""},{"dropping-particle":"","family":"Edenhofer","given":"Ottmar","non-dropping-particle":"","parse-names":false,"suffix":""},{"dropping-particle":"","family":"Holden","given":"Chris","non-dropping-particle":"","parse-names":false,"suffix":""},{"dropping-particle":"","family":"Löschel","given":"Andreas","non-dropping-particle":"","parse-names":false,"suffix":""},{"dropping-particle":"","family":"Nace","given":"Ted","non-dropping-particle":"","parse-names":false,"suffix":""},{"dropping-particle":"","family":"Robins","given":"Nick","non-dropping-particle":"","parse-names":false,"suffix":""},{"dropping-particle":"","family":"Suedekum","given":"Jens","non-dropping-particle":"","parse-names":false,"suffix":""},{"dropping-particle":"","family":"Urpelainen","given":"Johannes","non-dropping-particle":"","parse-names":false,"suffix":""}],"container-title":"Nature Climate Change","id":"ITEM-3","issue":"8","issued":{"date-parts":[["2020"]]},"page":"704-707","title":"The future of coal in a carbon-constrained climate","type":"article-journal","volume":"10"},"uris":["http://www.mendeley.com/documents/?uuid=a0f270ab-bbe5-413b-a753-ff8d0a9cdec8"]}],"mendeley":{"formattedCitation":"(Kriegler &lt;i&gt;et al.&lt;/i&gt;, 2018; Kuramochi &lt;i&gt;et al.&lt;/i&gt;, 2018; Jakob &lt;i&gt;et al.&lt;/i&gt;, 2020)","plainTextFormattedCitation":"(Kriegler et al., 2018; Kuramochi et al., 2018; Jakob et al., 2020)","previouslyFormattedCitation":"(Kriegler &lt;i&gt;et al.&lt;/i&gt;, 2018; Kuramochi &lt;i&gt;et al.&lt;/i&gt;, 2018; Jakob &lt;i&gt;et al.&lt;/i&gt;, 2020)"},"properties":{"noteIndex":0},"schema":"https://github.com/citation-style-language/schema/raw/master/csl-citation.json"}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(Kriegler </w:t>
            </w:r>
            <w:r w:rsidR="009D4BA6" w:rsidRPr="004675D3">
              <w:rPr>
                <w:rFonts w:ascii="Arial" w:hAnsi="Arial" w:cs="Arial"/>
                <w:i/>
                <w:noProof/>
                <w:sz w:val="16"/>
                <w:szCs w:val="18"/>
              </w:rPr>
              <w:t>et al.</w:t>
            </w:r>
            <w:r w:rsidR="009D4BA6" w:rsidRPr="004675D3">
              <w:rPr>
                <w:rFonts w:ascii="Arial" w:hAnsi="Arial" w:cs="Arial"/>
                <w:noProof/>
                <w:sz w:val="16"/>
                <w:szCs w:val="18"/>
              </w:rPr>
              <w:t xml:space="preserve">, 2018; Kuramochi </w:t>
            </w:r>
            <w:r w:rsidR="009D4BA6" w:rsidRPr="004675D3">
              <w:rPr>
                <w:rFonts w:ascii="Arial" w:hAnsi="Arial" w:cs="Arial"/>
                <w:i/>
                <w:noProof/>
                <w:sz w:val="16"/>
                <w:szCs w:val="18"/>
              </w:rPr>
              <w:t>et al.</w:t>
            </w:r>
            <w:r w:rsidR="009D4BA6" w:rsidRPr="004675D3">
              <w:rPr>
                <w:rFonts w:ascii="Arial" w:hAnsi="Arial" w:cs="Arial"/>
                <w:noProof/>
                <w:sz w:val="16"/>
                <w:szCs w:val="18"/>
              </w:rPr>
              <w:t xml:space="preserve">, 2018; Jakob </w:t>
            </w:r>
            <w:r w:rsidR="009D4BA6" w:rsidRPr="004675D3">
              <w:rPr>
                <w:rFonts w:ascii="Arial" w:hAnsi="Arial" w:cs="Arial"/>
                <w:i/>
                <w:noProof/>
                <w:sz w:val="16"/>
                <w:szCs w:val="18"/>
              </w:rPr>
              <w:t>et al.</w:t>
            </w:r>
            <w:r w:rsidR="009D4BA6" w:rsidRPr="004675D3">
              <w:rPr>
                <w:rFonts w:ascii="Arial" w:hAnsi="Arial" w:cs="Arial"/>
                <w:noProof/>
                <w:sz w:val="16"/>
                <w:szCs w:val="18"/>
              </w:rPr>
              <w:t>, 2020)</w:t>
            </w:r>
            <w:r w:rsidRPr="004675D3">
              <w:rPr>
                <w:rFonts w:ascii="Arial" w:hAnsi="Arial" w:cs="Arial"/>
                <w:sz w:val="16"/>
                <w:szCs w:val="18"/>
              </w:rPr>
              <w:fldChar w:fldCharType="end"/>
            </w:r>
          </w:p>
        </w:tc>
      </w:tr>
      <w:tr w:rsidR="00A87596" w:rsidRPr="004675D3" w14:paraId="0BDDA4B0"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6832F4A7" w14:textId="77777777" w:rsidR="00A87596" w:rsidRPr="004675D3" w:rsidRDefault="00A87596" w:rsidP="00A87596">
            <w:pPr>
              <w:jc w:val="left"/>
              <w:rPr>
                <w:rFonts w:ascii="Arial" w:hAnsi="Arial" w:cs="Arial"/>
                <w:sz w:val="16"/>
                <w:szCs w:val="18"/>
                <w:highlight w:val="yellow"/>
              </w:rPr>
            </w:pPr>
            <w:r w:rsidRPr="004675D3">
              <w:rPr>
                <w:rFonts w:ascii="Arial" w:eastAsia="Times New Roman" w:hAnsi="Arial" w:cs="Arial"/>
                <w:noProof/>
                <w:snapToGrid w:val="0"/>
                <w:color w:val="000000"/>
                <w:sz w:val="16"/>
                <w:szCs w:val="18"/>
                <w:lang w:eastAsia="ja-JP"/>
              </w:rPr>
              <w:t>Support scheme for CCS</w:t>
            </w:r>
          </w:p>
        </w:tc>
        <w:tc>
          <w:tcPr>
            <w:tcW w:w="2973" w:type="pct"/>
            <w:vAlign w:val="center"/>
          </w:tcPr>
          <w:p w14:paraId="05E09106"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Support schemes for the development and uptake of Carbon Capture and Storage (CCS) in the electricity sector. </w:t>
            </w:r>
          </w:p>
        </w:tc>
        <w:tc>
          <w:tcPr>
            <w:tcW w:w="1013" w:type="pct"/>
            <w:vAlign w:val="center"/>
          </w:tcPr>
          <w:p w14:paraId="13284B4E" w14:textId="21457801"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{"citationItems":[{"id":"ITEM-1","itemData":{"author":[{"dropping-particle":"","family":"IPCC","given":"","non-dropping-particle":"","parse-names":false,"suffix":""}],"id":"ITEM-1","issued":{"date-parts":[["2018"]]},"number-of-pages":"1-630","publisher":"Intergovernmental Panel on Climate Change","title":"Global Warming of 1.5°C. An IPCC Special Report on the impacts of global warming of 1.5°C above pre-industrial levels and related global greenhouse gas emission pathways, in the context of strengthening the global response to the threat of climate change,","type":"report"},"uris":["http://www.mendeley.com/documents/?uuid=b444de0e-4948-47dd-8c1f-8bd2c069adc5"]}],"mendeley":{"formattedCitation":"(IPCC, 2018)","plainTextFormattedCitation":"(IPCC, 2018)","previouslyFormattedCitation":"(IPCC,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(IPCC, 2018)</w:t>
            </w:r>
            <w:r w:rsidRPr="004675D3">
              <w:rPr>
                <w:rFonts w:ascii="Arial" w:hAnsi="Arial" w:cs="Arial"/>
                <w:sz w:val="16"/>
                <w:szCs w:val="18"/>
              </w:rPr>
              <w:fldChar w:fldCharType="end"/>
            </w:r>
          </w:p>
        </w:tc>
      </w:tr>
      <w:tr w:rsidR="00A87596" w:rsidRPr="004675D3" w14:paraId="647CF2BC"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5103B400" w14:textId="77777777" w:rsidR="00A87596" w:rsidRPr="004675D3" w:rsidRDefault="00A87596" w:rsidP="00A87596">
            <w:pPr>
              <w:jc w:val="left"/>
              <w:rPr>
                <w:rFonts w:ascii="Arial" w:eastAsia="Times New Roman" w:hAnsi="Arial" w:cs="Arial"/>
                <w:snapToGrid w:val="0"/>
                <w:color w:val="000000"/>
                <w:sz w:val="16"/>
                <w:szCs w:val="18"/>
                <w:lang w:eastAsia="ja-JP"/>
              </w:rPr>
            </w:pPr>
            <w:r w:rsidRPr="004675D3">
              <w:rPr>
                <w:rFonts w:ascii="Arial" w:eastAsia="Times New Roman" w:hAnsi="Arial" w:cs="Arial"/>
                <w:noProof/>
                <w:snapToGrid w:val="0"/>
                <w:color w:val="000000"/>
                <w:sz w:val="16"/>
                <w:szCs w:val="18"/>
                <w:lang w:eastAsia="ja-JP"/>
              </w:rPr>
              <w:t>Support scheme for non-renewable low-carbon alternatives</w:t>
            </w:r>
          </w:p>
        </w:tc>
        <w:tc>
          <w:tcPr>
            <w:tcW w:w="2973" w:type="pct"/>
            <w:vAlign w:val="center"/>
          </w:tcPr>
          <w:p w14:paraId="161D4975"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Support for options, besides renewable </w:t>
            </w:r>
            <w:proofErr w:type="gramStart"/>
            <w:r w:rsidRPr="004675D3">
              <w:rPr>
                <w:rFonts w:ascii="Arial" w:hAnsi="Arial" w:cs="Arial"/>
                <w:sz w:val="16"/>
                <w:szCs w:val="18"/>
              </w:rPr>
              <w:t>electricity</w:t>
            </w:r>
            <w:proofErr w:type="gramEnd"/>
            <w:r w:rsidRPr="004675D3">
              <w:rPr>
                <w:rFonts w:ascii="Arial" w:hAnsi="Arial" w:cs="Arial"/>
                <w:sz w:val="16"/>
                <w:szCs w:val="18"/>
              </w:rPr>
              <w:t xml:space="preserve"> and heat, such as nuclear and hydrogen-based technologies. </w:t>
            </w:r>
          </w:p>
        </w:tc>
        <w:tc>
          <w:tcPr>
            <w:tcW w:w="1013" w:type="pct"/>
            <w:vAlign w:val="center"/>
          </w:tcPr>
          <w:p w14:paraId="7C97BEBA" w14:textId="75EF0EB5"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{"citationItems":[{"id":"ITEM-1","itemData":{"author":[{"dropping-particle":"","family":"IPCC","given":"","non-dropping-particle":"","parse-names":false,"suffix":""}],"id":"ITEM-1","issued":{"date-parts":[["2018"]]},"number-of-pages":"1-630","publisher":"Intergovernmental Panel on Climate Change","title":"Global Warming of 1.5°C. An IPCC Special Report on the impacts of global warming of 1.5°C above pre-industrial levels and related global greenhouse gas emission pathways, in the context of strengthening the global response to the threat of climate change,","type":"report"},"uris":["http://www.mendeley.com/documents/?uuid=b444de0e-4948-47dd-8c1f-8bd2c069adc5"]},{"id":"ITEM-2","itemData":{"DOI":"10.1080/14693062.2014.912980","ISSN":"1469-3062","abstract":"Most studies that explore deep GHG emission reduction scenarios assume that climate goals are reached by implementing least-cost emission mitigation options, typically by implementing a global carbon tax. Although such a method provides insight into total mitigation costs, it does not provide much information about how to achieve a transition towards a low-carbon energy system, which is of critical importance to achieving ambitious climate targets. To enable sensible deep emission reduction strategies, this study analysed the effectiveness of 16 specific mitigation measures on a global level up to 2050, by using an energy-system simulation model called TIMER. The measures range from specific energy efficiency measures, like banning traditional light bulbs and subsidizing electric vehicles, to broader policies like introducing a carbon tax in the electricity sector. All measures combined lead to global CO2 emission reductions ranging between 39% and 73% compared to baseline by 2050, depending on the inclusion of sectoral carbon taxes and the availability of carbon capture and storage (CCS) and nuclear power. Although the effectiveness of the measures differs largely across regions, this study indicates that measures aimed at stimulating low-carbon electricity production result in the highest reductions in all regions.Policy relevanceThe results of the calculations can be used to evaluate the effects of individual climate change mitigation measures and identify priorities in discussions on global and regional policies. The type of fragmented policy scenarios presented here could provide a relevant bottom-up alternative to cost-optimal implementation of policies driven by a carbon tax. We identify overlapping and even counter-productive climate policy measures through an analysis that presents the policy effectiveness by region, and by sector. The set of 16 policy measures addresses the largest emitting sectors and represents options that are often discussed as part of planned policies.","author":[{"dropping-particle":"","family":"Deetman","given":"Sebastiaan","non-dropping-particle":"","parse-names":false,"suffix":""},{"dropping-particle":"","family":"Hof","given":"Andries F","non-dropping-particle":"","parse-names":false,"suffix":""},{"dropping-particle":"","family":"Vuuren","given":"Detlef P","non-dropping-particle":"van","parse-names":false,"suffix":""}],"container-title":"Climate Policy","id":"ITEM-2","issue":"2","issued":{"date-parts":[["2015","3","4"]]},"note":"doi: 10.1080/14693062.2014.912980","page":"253-271","publisher":"Taylor &amp; Francis","title":"Deep CO2 emission reductions in a global bottom-up model approach","type":"article-journal","volume":"15"},"uris":["http://www.mendeley.com/documents/?uuid=17fbe343-85f1-47db-a121-b70571e865a3"]}],"mendeley":{"formattedCitation":"(Deetman, Hof and van Vuuren, 2015; IPCC, 2018)","plainTextFormattedCitation":"(Deetman, Hof and van Vuuren, 2015; IPCC, 2018)","previouslyFormattedCitation":"(Deetman, Hof and van Vuuren, 2015; IPCC,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(Deetman, Hof and van Vuuren, 2015; IPCC, 2018)</w:t>
            </w:r>
            <w:r w:rsidRPr="004675D3">
              <w:rPr>
                <w:rFonts w:ascii="Arial" w:hAnsi="Arial" w:cs="Arial"/>
                <w:sz w:val="16"/>
                <w:szCs w:val="18"/>
              </w:rPr>
              <w:fldChar w:fldCharType="end"/>
            </w:r>
          </w:p>
        </w:tc>
      </w:tr>
    </w:tbl>
    <w:p w14:paraId="2878F83B" w14:textId="77777777" w:rsidR="00A87596" w:rsidRPr="004675D3" w:rsidRDefault="00A87596" w:rsidP="00A87596">
      <w:pPr>
        <w:pStyle w:val="Caption"/>
        <w:keepNext/>
        <w:rPr>
          <w:rFonts w:ascii="Arial" w:hAnsi="Arial" w:cs="Arial"/>
        </w:rPr>
      </w:pPr>
    </w:p>
    <w:p w14:paraId="43D7B26B" w14:textId="0D2C73E1" w:rsidR="00A87596" w:rsidRPr="004675D3" w:rsidRDefault="00A87596" w:rsidP="00A87596">
      <w:pPr>
        <w:pStyle w:val="Caption"/>
        <w:keepNext/>
        <w:rPr>
          <w:rFonts w:ascii="Arial" w:hAnsi="Arial" w:cs="Arial"/>
        </w:rPr>
      </w:pPr>
      <w:bookmarkStart w:id="9" w:name="_Ref48225180"/>
      <w:bookmarkStart w:id="10" w:name="_Toc76122085"/>
      <w:r w:rsidRPr="004675D3">
        <w:rPr>
          <w:rFonts w:ascii="Arial" w:hAnsi="Arial" w:cs="Arial"/>
        </w:rPr>
        <w:t xml:space="preserve">Table </w:t>
      </w:r>
      <w:r w:rsidRPr="004675D3">
        <w:rPr>
          <w:rFonts w:ascii="Arial" w:hAnsi="Arial" w:cs="Arial"/>
        </w:rPr>
        <w:fldChar w:fldCharType="begin"/>
      </w:r>
      <w:r w:rsidRPr="004675D3">
        <w:rPr>
          <w:rFonts w:ascii="Arial" w:hAnsi="Arial" w:cs="Arial"/>
        </w:rPr>
        <w:instrText xml:space="preserve"> SEQ Table \* ARABIC </w:instrText>
      </w:r>
      <w:r w:rsidRPr="004675D3">
        <w:rPr>
          <w:rFonts w:ascii="Arial" w:hAnsi="Arial" w:cs="Arial"/>
        </w:rPr>
        <w:fldChar w:fldCharType="separate"/>
      </w:r>
      <w:r w:rsidR="007F3B3C">
        <w:rPr>
          <w:rFonts w:ascii="Arial" w:hAnsi="Arial" w:cs="Arial"/>
          <w:noProof/>
        </w:rPr>
        <w:t>3</w:t>
      </w:r>
      <w:r w:rsidRPr="004675D3">
        <w:rPr>
          <w:rFonts w:ascii="Arial" w:hAnsi="Arial" w:cs="Arial"/>
        </w:rPr>
        <w:fldChar w:fldCharType="end"/>
      </w:r>
      <w:bookmarkEnd w:id="9"/>
      <w:r w:rsidRPr="004675D3">
        <w:rPr>
          <w:rFonts w:ascii="Arial" w:hAnsi="Arial" w:cs="Arial"/>
        </w:rPr>
        <w:t xml:space="preserve"> Policy options classified under the sector ‘industry’</w:t>
      </w:r>
      <w:bookmarkEnd w:id="10"/>
    </w:p>
    <w:tbl>
      <w:tblPr>
        <w:tblStyle w:val="GridTable1Light-Accent31"/>
        <w:tblW w:w="5000" w:type="pct"/>
        <w:tblLook w:val="04A0" w:firstRow="1" w:lastRow="0" w:firstColumn="1" w:lastColumn="0" w:noHBand="0" w:noVBand="1"/>
      </w:tblPr>
      <w:tblGrid>
        <w:gridCol w:w="1828"/>
        <w:gridCol w:w="5363"/>
        <w:gridCol w:w="1825"/>
      </w:tblGrid>
      <w:tr w:rsidR="00A87596" w:rsidRPr="004675D3" w14:paraId="4B9A334D" w14:textId="77777777" w:rsidTr="00A875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4" w:type="pct"/>
            <w:vAlign w:val="center"/>
          </w:tcPr>
          <w:p w14:paraId="44E49B8C" w14:textId="77777777" w:rsidR="00A87596" w:rsidRPr="004675D3" w:rsidRDefault="00A87596" w:rsidP="00A87596">
            <w:pPr>
              <w:jc w:val="left"/>
              <w:rPr>
                <w:rFonts w:ascii="Arial" w:hAnsi="Arial" w:cs="Arial"/>
                <w:sz w:val="16"/>
                <w:szCs w:val="18"/>
              </w:rPr>
            </w:pPr>
            <w:r w:rsidRPr="004675D3">
              <w:rPr>
                <w:rFonts w:ascii="Arial" w:hAnsi="Arial" w:cs="Arial"/>
                <w:sz w:val="16"/>
                <w:szCs w:val="18"/>
              </w:rPr>
              <w:t>Policy option</w:t>
            </w:r>
          </w:p>
        </w:tc>
        <w:tc>
          <w:tcPr>
            <w:tcW w:w="2974" w:type="pct"/>
            <w:vAlign w:val="center"/>
          </w:tcPr>
          <w:p w14:paraId="11301A30" w14:textId="77777777" w:rsidR="00A87596" w:rsidRPr="004675D3" w:rsidRDefault="00A87596" w:rsidP="00A87596">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Description</w:t>
            </w:r>
          </w:p>
        </w:tc>
        <w:tc>
          <w:tcPr>
            <w:tcW w:w="1012" w:type="pct"/>
            <w:vAlign w:val="center"/>
          </w:tcPr>
          <w:p w14:paraId="7D694C1F" w14:textId="77777777" w:rsidR="00A87596" w:rsidRPr="004675D3" w:rsidRDefault="00A87596" w:rsidP="00A87596">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Further information </w:t>
            </w:r>
          </w:p>
        </w:tc>
      </w:tr>
      <w:tr w:rsidR="00A87596" w:rsidRPr="004675D3" w14:paraId="1DDA0142"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75AEFC7E" w14:textId="77777777" w:rsidR="00A87596" w:rsidRPr="004675D3" w:rsidRDefault="00A87596" w:rsidP="00A87596">
            <w:pPr>
              <w:spacing w:line="240" w:lineRule="auto"/>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Strategy for material efficiency</w:t>
            </w:r>
          </w:p>
        </w:tc>
        <w:tc>
          <w:tcPr>
            <w:tcW w:w="2974" w:type="pct"/>
            <w:vAlign w:val="center"/>
          </w:tcPr>
          <w:p w14:paraId="551960B6"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Policies that aim to introduce resource-efficient processes or changes in materials used, and designs or enhance recycling and re-use of products.</w:t>
            </w:r>
          </w:p>
        </w:tc>
        <w:tc>
          <w:tcPr>
            <w:tcW w:w="1012" w:type="pct"/>
            <w:vAlign w:val="center"/>
          </w:tcPr>
          <w:p w14:paraId="49A01888" w14:textId="6BE0596B"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{"citationItems":[{"id":"ITEM-1","itemData":{"ISBN":"9781107654815","author":[{"dropping-particle":"","family":"IPCC","given":"","non-dropping-particle":"","parse-names":false,"suffix":""}],"container-title":"Climate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Kadner","given":"S.","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-1","issued":{"date-parts":[["2014"]]},"publisher":"Cambridge University Press","publisher-place":"Cambridge, UK and New York, NY","title":"Summary for Policymakers","type":"report"},"uris":["http://www.mendeley.com/documents/?uuid=bae1ec7b-5715-4250-a1a4-b415b93c982f"]},{"id":"ITEM-2","itemData":{"author":[{"dropping-particle":"","family":"Fischedick","given":"M.","non-dropping-particle":"","parse-names":false,"suffix":""},{"dropping-particle":"","family":"Roy","given":"J.","non-dropping-particle":"","parse-names":false,"suffix":""},{"dropping-particle":"","family":"Abdel-Aziz","given":"A.","non-dropping-particle":"","parse-names":false,"suffix":""},{"dropping-particle":"","family":"Acquaye","given":"A.","non-dropping-particle":"","parse-names":false,"suffix":""},{"dropping-particle":"","family":"Allwood","given":"J. M.","non-dropping-particle":"","parse-names":false,"suffix":""},{"dropping-particle":"","family":"Ceron","given":"J.-P.","non-dropping-particle":"","parse-names":false,"suffix":""},{"dropping-particle":"","family":"Geng","given":"Y.","non-dropping-particle":"","parse-names":false,"suffix":""},{"dropping-particle":"","family":"Kheshgi","given":"H.","non-dropping-particle":"","parse-names":false,"suffix":""},{"dropping-particle":"","family":"Lanza","given":"A.","non-dropping-particle":"","parse-names":false,"suffix":""},{"dropping-particle":"","family":"Perczyk","given":"D.","non-dropping-particle":"","parse-names":false,"suffix":""},{"dropping-particle":"","family":"Price","given":"L.","non-dropping-particle":"","parse-names":false,"suffix":""},{"dropping-particle":"","family":"Santalla","given":"E.","non-dropping-particle":"","parse-names":false,"suffix":""},{"dropping-particle":"","family":"Sheinbaum","given":"C.","non-dropping-particle":"","parse-names":false,"suffix":""},{"dropping-particle":"","family":"Tanaka","given":"K.","non-dropping-particle":"","parse-names":false,"suffix":""}],"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S.Kadner","given":"","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-2","issued":{"date-parts":[["2014"]]},"number-of-pages":"739-810","publisher":"Cambridge University Press","publisher-place":"Cambridge, UK and New York, NY, USA","title":"Industry","type":"report"},"uris":["http://www.mendeley.com/documents/?uuid=18914594-d64d-4af9-bb4a-8e0db34c5e24"]},{"id":"ITEM-3","itemData":{"DOI":"10.18356/ff6d1a84-en","ISBN":"9789280737660","author":[{"dropping-particle":"","family":"UNEP","given":"","non-dropping-particle":"","parse-names":false,"suffix":""}],"id":"ITEM-3","issued":{"date-parts":[["2019"]]},"publisher":"United Nations Environment Programme","publisher-place":"Nairobi, Kenya","title":"Emissions Gap Report 2019","type":"report"},"uris":["http://www.mendeley.com/documents/?uuid=0ca6f941-4554-4888-9ab9-13fc13544d43"]},{"id":"ITEM-4","itemData":{"DOI":"10.1080/14693062.2017.1397495","ISSN":"1469-3062","author":[{"dropping-particle":"","family":"Kuramochi","given":"Takeshi","non-dropping-particle":"","parse-names":false,"suffix":""},{"dropping-particle":"","family":"Höhne","given":"Niklas","non-dropping-particle":"","parse-names":false,"suffix":""},{"dropping-particle":"","family":"Schaeffer","given":"Michiel","non-dropping-particle":"","parse-names":false,"suffix":""},{"dropping-particle":"","family":"Cantzler","given":"Jasmin","non-dropping-particle":"","parse-names":false,"suffix":""},{"dropping-particle":"","family":"Hare","given":"Bill","non-dropping-particle":"","parse-names":false,"suffix":""},{"dropping-particle":"","family":"Deng","given":"Yvonne","non-dropping-particle":"","parse-names":false,"suffix":""},{"dropping-particle":"","family":"Sterl","given":"Sebastian","non-dropping-particle":"","parse-names":false,"suffix":""},{"dropping-particle":"","family":"Hagemann","given":"Markus","non-dropping-particle":"","parse-names":false,"suffix":""},{"dropping-particle":"","family":"Rocha","given":"Marcia","non-dropping-particle":"","parse-names":false,"suffix":""},{"dropping-particle":"","family":"Yanguas-Parra","given":"Paola Andrea","non-dropping-particle":"","parse-names":false,"suffix":""},{"dropping-particle":"","family":"Mir","given":"Goher-Ur-Rehman","non-dropping-particle":"","parse-names":false,"suffix":""},{"dropping-particle":"","family":"Wong","given":"Lindee","non-dropping-particle":"","parse-names":false,"suffix":""},{"dropping-particle":"","family":"El-Laboudy","given":"Tarik","non-dropping-particle":"","parse-names":false,"suffix":""},{"dropping-particle":"","family":"Wouters","given":"Karlien","non-dropping-particle":"","parse-names":false,"suffix":""},{"dropping-particle":"","family":"Deryng","given":"Delphine","non-dropping-particle":"","parse-names":false,"suffix":""},{"dropping-particle":"","family":"Blok","given":"Kornelis","non-dropping-particle":"","parse-names":false,"suffix":""}],"container-title":"Climate Policy","id":"ITEM-4","issue":"3","issued":{"date-parts":[["2018","3","16"]]},"page":"287-305","title":"Ten key short-term sectoral benchmarks to limit warming to 1.5°C","type":"article-journal","volume":"18"},"uris":["http://www.mendeley.com/documents/?uuid=3032dc5f-5e33-4133-9cfd-4e1dfff78e31"]}],"mendeley":{"formattedCitation":"(Fischedick &lt;i&gt;et al.&lt;/i&gt;, 2014; IPCC, 2014; Kuramochi &lt;i&gt;et al.&lt;/i&gt;, 2018; UNEP, 2019)","plainTextFormattedCitation":"(Fischedick et al., 2014; IPCC, 2014; Kuramochi et al., 2018; UNEP, 2019)","previouslyFormattedCitation":"(Fischedick &lt;i&gt;et al.&lt;/i&gt;, 2014; IPCC, 2014; Kuramochi &lt;i&gt;et al.&lt;/i&gt;, 2018; UNEP, 2019)"},"properties":{"noteIndex":0},"schema":"https://github.com/citation-style-language/schema/raw/master/csl-citation.json"}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(Fischedick </w:t>
            </w:r>
            <w:r w:rsidR="009D4BA6" w:rsidRPr="004675D3">
              <w:rPr>
                <w:rFonts w:ascii="Arial" w:hAnsi="Arial" w:cs="Arial"/>
                <w:i/>
                <w:noProof/>
                <w:sz w:val="16"/>
                <w:szCs w:val="18"/>
              </w:rPr>
              <w:t>et al.</w:t>
            </w:r>
            <w:r w:rsidR="009D4BA6" w:rsidRPr="004675D3">
              <w:rPr>
                <w:rFonts w:ascii="Arial" w:hAnsi="Arial" w:cs="Arial"/>
                <w:noProof/>
                <w:sz w:val="16"/>
                <w:szCs w:val="18"/>
              </w:rPr>
              <w:t xml:space="preserve">, 2014; IPCC, 2014; Kuramochi </w:t>
            </w:r>
            <w:r w:rsidR="009D4BA6" w:rsidRPr="004675D3">
              <w:rPr>
                <w:rFonts w:ascii="Arial" w:hAnsi="Arial" w:cs="Arial"/>
                <w:i/>
                <w:noProof/>
                <w:sz w:val="16"/>
                <w:szCs w:val="18"/>
              </w:rPr>
              <w:t>et al.</w:t>
            </w:r>
            <w:r w:rsidR="009D4BA6" w:rsidRPr="004675D3">
              <w:rPr>
                <w:rFonts w:ascii="Arial" w:hAnsi="Arial" w:cs="Arial"/>
                <w:noProof/>
                <w:sz w:val="16"/>
                <w:szCs w:val="18"/>
              </w:rPr>
              <w:t>, 2018; UNEP, 2019)</w:t>
            </w:r>
            <w:r w:rsidRPr="004675D3">
              <w:rPr>
                <w:rFonts w:ascii="Arial" w:hAnsi="Arial" w:cs="Arial"/>
                <w:sz w:val="16"/>
                <w:szCs w:val="18"/>
              </w:rPr>
              <w:fldChar w:fldCharType="end"/>
            </w:r>
          </w:p>
        </w:tc>
      </w:tr>
      <w:tr w:rsidR="00A87596" w:rsidRPr="004675D3" w14:paraId="76FF9035"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4F6F1160" w14:textId="77777777" w:rsidR="00A87596" w:rsidRPr="004675D3" w:rsidRDefault="00A87596" w:rsidP="00A87596">
            <w:pPr>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Support for energy efficiency in industrial production</w:t>
            </w:r>
          </w:p>
        </w:tc>
        <w:tc>
          <w:tcPr>
            <w:tcW w:w="2974" w:type="pct"/>
            <w:vAlign w:val="center"/>
          </w:tcPr>
          <w:p w14:paraId="72FA65E4"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Policies that support energy efficiency improvements. It often taken the form of voluntary agreements, which can play a major role of facilitating cooperation among firms, industrial associations, and governments to identify and realise low-cost emissions reduction measures.</w:t>
            </w:r>
          </w:p>
        </w:tc>
        <w:tc>
          <w:tcPr>
            <w:tcW w:w="1012" w:type="pct"/>
            <w:vAlign w:val="center"/>
          </w:tcPr>
          <w:p w14:paraId="0B23C9C0" w14:textId="0DAA8C38"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Somanathan","given":"E.","non-dropping-particle":"","parse-names":false,"suffix":""},{"dropping-particle":"","family":"Sterner","given":"T.","non-dropping-particle":"","parse-names":false,"suffix":""},{"dropping-particle":"","family":"Sugiyama","given":"T.","non-dropping-particle":"","parse-names":false,"suffix":""},{"dropping-particle":"","family":"Chimanikire","given":"D.","non-dropping-particle":"","parse-names":false,"suffix":""},{"dropping-particle":"","family":"Dubash","given":"N. K.","non-dropping-particle":"","parse-names":false,"suffix":""},{"dropping-particle":"","family":"Essandoh-Yeddu","given":"J.","non-dropping-particle":"","parse-names":false,"suffix":""},{"dropping-particle":"","family":"S. Fifita","given":"L. Goulder","non-dropping-particle":"","parse-names":false,"suffix":""},{"dropping-particle":"","family":"Jaffe","given":"A.","non-dropping-particle":"","parse-names":false,"suffix":""},{"dropping-particle":"","family":"Labandeira","given":"X.","non-dropping-particle":"","parse-names":false,"suffix":""},{"dropping-particle":"","family":"Managi","given":"S.","non-dropping-particle":"","parse-names":false,"suffix":""},{"dropping-particle":"","family":"Mitchell","given":"C.","non-dropping-particle":"","parse-names":false,"suffix":""},{"dropping-particle":"","family":"Montero","given":"J. P.","non-dropping-particle":"","parse-names":false,"suffix":""},{"dropping-particle":"","family":"Teng","given":"F.","non-dropping-particle":"","parse-names":false,"suffix":""},{"dropping-particle":"","family":"Zylicz","given":"T.","non-dropping-particle":"","parse-names":false,"suffix":""}],"chapter-number":"15","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S.Kadner","given":"","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-1","issued":{"date-parts":[["2014"]]},"publisher":"Cambridge University Press","publisher-place":"Cambridge, United Kingdom and New York, NY, USA","title":"National and Sub-national Policies and Institutions","type":"report"},"uris":["http://www.mendeley.com/documents/?uuid=7e870f82-b225-4d10-acc6-0ed2d4bc80f5"]},{"id":"ITEM-2","itemData":{"author":[{"dropping-particle":"","family":"UNFCCC","given":"","non-dropping-particle":"","parse-names":false,"suffix":""}],"id":"ITEM-2","issued":{"date-parts":[["2018"]]},"publisher":"United Nations Framework Convention on Climate Change","publisher-place":"Bonn, Germany","title":"Talanoa dialogue for climate ambition. Synthesis of the preparatory phase 19/11/2018","type":"report"},"uris":["http://www.mendeley.com/documents/?uuid=11a21a65-a2bc-4057-96bd-68a0b8aeea75"]},{"id":"ITEM-3","itemData":{"DOI":"ISBN 978-92-9253-062-4","ISBN":"978-92-9253-062-4","ISSN":"1087-2914","PMID":"15520091","author":[{"dropping-particle":"","family":"UNEP","given":"","non-dropping-particle":"","parse-names":false,"suffix":""}],"id":"ITEM-3","issue":"1","issued":{"date-parts":[["2016"]]},"publisher":"United Nations Environment Programme (UNEP)","publisher-place":"Nairobi, Kenya","title":"The Emissions Gap Report 2016","type":"report"},"uris":["http://www.mendeley.com/documents/?uuid=6eb0e4df-d29f-4d70-9f57-558c7850b147"]},{"id":"ITEM-4","itemData":{"DOI":"10.1049/ep.1977.0180","ISBN":"0872625710","ISSN":"03671119","author":[{"dropping-particle":"","family":"IEA","given":"","non-dropping-particle":"","parse-names":false,"suffix":""}],"id":"ITEM-4","issued":{"date-parts":[["2019"]]},"number-of-pages":"1-810","publisher":"International Energy Agency (IEA)","publisher-place":"Paris, France","title":"World Energy Outlook","type":"book"},"uris":["http://www.mendeley.com/documents/?uuid=bf82544b-89fe-4503-a730-22cb948bfbeb"]}],"mendeley":{"formattedCitation":"(Somanathan &lt;i&gt;et al.&lt;/i&gt;, 2014; UNEP, 2016; UNFCCC, 2018; IEA, 2019)","plainTextFormattedCitation":"(Somanathan et al., 2014; UNEP, 2016; UNFCCC, 2018; IEA, 2019)","previouslyFormattedCitation":"(Somanathan &lt;i&gt;et al.&lt;/i&gt;, 2014; UNEP, 2016; UNFCCC, 2018; IEA, 2019)"},"properties":{"noteIndex":0},"schema":"https://github.com/citation-style-language/schema/raw/master/csl-citation.json"}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(Somanathan </w:t>
            </w:r>
            <w:r w:rsidR="009D4BA6" w:rsidRPr="004675D3">
              <w:rPr>
                <w:rFonts w:ascii="Arial" w:hAnsi="Arial" w:cs="Arial"/>
                <w:i/>
                <w:noProof/>
                <w:sz w:val="16"/>
                <w:szCs w:val="18"/>
              </w:rPr>
              <w:t>et al.</w:t>
            </w:r>
            <w:r w:rsidR="009D4BA6" w:rsidRPr="004675D3">
              <w:rPr>
                <w:rFonts w:ascii="Arial" w:hAnsi="Arial" w:cs="Arial"/>
                <w:noProof/>
                <w:sz w:val="16"/>
                <w:szCs w:val="18"/>
              </w:rPr>
              <w:t>, 2014; UNEP, 2016; UNFCCC, 2018; IEA, 2019)</w:t>
            </w:r>
            <w:r w:rsidRPr="004675D3">
              <w:rPr>
                <w:rFonts w:ascii="Arial" w:hAnsi="Arial" w:cs="Arial"/>
                <w:sz w:val="16"/>
                <w:szCs w:val="18"/>
              </w:rPr>
              <w:fldChar w:fldCharType="end"/>
            </w:r>
          </w:p>
        </w:tc>
      </w:tr>
      <w:tr w:rsidR="00A87596" w:rsidRPr="004675D3" w14:paraId="7A4A6E63"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454C29B4" w14:textId="77777777" w:rsidR="00A87596" w:rsidRPr="004675D3" w:rsidRDefault="00A87596" w:rsidP="00A87596">
            <w:pPr>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Energy reporting and audits</w:t>
            </w:r>
          </w:p>
        </w:tc>
        <w:tc>
          <w:tcPr>
            <w:tcW w:w="2974" w:type="pct"/>
            <w:vAlign w:val="center"/>
          </w:tcPr>
          <w:p w14:paraId="15E8C053"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Policies that foster the implementation of energy management systems, </w:t>
            </w:r>
            <w:proofErr w:type="gramStart"/>
            <w:r w:rsidRPr="004675D3">
              <w:rPr>
                <w:rFonts w:ascii="Arial" w:hAnsi="Arial" w:cs="Arial"/>
                <w:sz w:val="16"/>
                <w:szCs w:val="18"/>
              </w:rPr>
              <w:t>e.g.</w:t>
            </w:r>
            <w:proofErr w:type="gramEnd"/>
            <w:r w:rsidRPr="004675D3">
              <w:rPr>
                <w:rFonts w:ascii="Arial" w:hAnsi="Arial" w:cs="Arial"/>
                <w:sz w:val="16"/>
                <w:szCs w:val="18"/>
              </w:rPr>
              <w:t xml:space="preserve"> energy monitoring and auditing, and energy data collection.</w:t>
            </w:r>
          </w:p>
        </w:tc>
        <w:tc>
          <w:tcPr>
            <w:tcW w:w="1012" w:type="pct"/>
            <w:vAlign w:val="center"/>
          </w:tcPr>
          <w:p w14:paraId="1D26F324" w14:textId="7034C86E"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{"citationItems":[{"id":"ITEM-1","itemData":{"DOI":"ISBN 978-92-9253-062-4","ISBN":"978-92-9253-062-4","ISSN":"1087-2914","PMID":"15520091","author":[{"dropping-particle":"","family":"UNEP","given":"","non-dropping-particle":"","parse-names":false,"suffix":""}],"id":"ITEM-1","issue":"1","issued":{"date-parts":[["2016"]]},"publisher":"United Nations Environment Programme (UNEP)","publisher-place":"Nairobi, Kenya","title":"The Emissions Gap Report 2016","type":"report"},"uris":["http://www.mendeley.com/documents/?uuid=6eb0e4df-d29f-4d70-9f57-558c7850b147"]},{"id":"ITEM-2","itemData":{"author":[{"dropping-particle":"","family":"Somanathan","given":"E.","non-dropping-particle":"","parse-names":false,"suffix":""},{"dropping-particle":"","family":"Sterner","given":"T.","non-dropping-particle":"","parse-names":false,"suffix":""},{"dropping-particle":"","family":"Sugiyama","given":"T.","non-dropping-particle":"","parse-names":false,"suffix":""},{"dropping-particle":"","family":"Chimanikire","given":"D.","non-dropping-particle":"","parse-names":false,"suffix":""},{"dropping-particle":"","family":"Dubash","given":"N. K.","non-dropping-particle":"","parse-names":false,"suffix":""},{"dropping-particle":"","family":"Essandoh-Yeddu","given":"J.","non-dropping-particle":"","parse-names":false,"suffix":""},{"dropping-particle":"","family":"S. Fifita","given":"L. Goulder","non-dropping-particle":"","parse-names":false,"suffix":""},{"dropping-particle":"","family":"Jaffe","given":"A.","non-dropping-particle":"","parse-names":false,"suffix":""},{"dropping-particle":"","family":"Labandeira","given":"X.","non-dropping-particle":"","parse-names":false,"suffix":""},{"dropping-particle":"","family":"Managi","given":"S.","non-dropping-particle":"","parse-names":false,"suffix":""},{"dropping-particle":"","family":"Mitchell","given":"C.","non-dropping-particle":"","parse-names":false,"suffix":""},{"dropping-particle":"","family":"Montero","given":"J. P.","non-dropping-particle":"","parse-names":false,"suffix":""},{"dropping-particle":"","family":"Teng","given":"F.","non-dropping-particle":"","parse-names":false,"suffix":""},{"dropping-particle":"","family":"Zylicz","given":"T.","non-dropping-particle":"","parse-names":false,"suffix":""}],"chapter-number":"15","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S.Kadner","given":"","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-2","issued":{"date-parts":[["2014"]]},"publisher":"Cambridge University Press","publisher-place":"Cambridge, United Kingdom and New York, NY, USA","title":"National and Sub-national Policies and Institutions","type":"report"},"uris":["http://www.mendeley.com/documents/?uuid=7e870f82-b225-4d10-acc6-0ed2d4bc80f5"]}],"mendeley":{"formattedCitation":"(Somanathan &lt;i&gt;et al.&lt;/i&gt;, 2014; UNEP, 2016)","plainTextFormattedCitation":"(Somanathan et al., 2014; UNEP, 2016)","previouslyFormattedCitation":"(Somanathan &lt;i&gt;et al.&lt;/i&gt;, 2014; UNEP, 2016)"},"properties":{"noteIndex":0},"schema":"https://github.com/citation-style-language/schema/raw/master/csl-citation.json"}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(Somanathan </w:t>
            </w:r>
            <w:r w:rsidR="009D4BA6" w:rsidRPr="004675D3">
              <w:rPr>
                <w:rFonts w:ascii="Arial" w:hAnsi="Arial" w:cs="Arial"/>
                <w:i/>
                <w:noProof/>
                <w:sz w:val="16"/>
                <w:szCs w:val="18"/>
              </w:rPr>
              <w:t>et al.</w:t>
            </w:r>
            <w:r w:rsidR="009D4BA6" w:rsidRPr="004675D3">
              <w:rPr>
                <w:rFonts w:ascii="Arial" w:hAnsi="Arial" w:cs="Arial"/>
                <w:noProof/>
                <w:sz w:val="16"/>
                <w:szCs w:val="18"/>
              </w:rPr>
              <w:t>, 2014; UNEP, 2016)</w:t>
            </w:r>
            <w:r w:rsidRPr="004675D3">
              <w:rPr>
                <w:rFonts w:ascii="Arial" w:hAnsi="Arial" w:cs="Arial"/>
                <w:sz w:val="16"/>
                <w:szCs w:val="18"/>
              </w:rPr>
              <w:fldChar w:fldCharType="end"/>
            </w:r>
          </w:p>
        </w:tc>
      </w:tr>
      <w:tr w:rsidR="00A87596" w:rsidRPr="004675D3" w14:paraId="0CA506B1"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1479C2A7" w14:textId="77777777" w:rsidR="00A87596" w:rsidRPr="004675D3" w:rsidRDefault="00A87596" w:rsidP="00A87596">
            <w:pPr>
              <w:spacing w:line="240" w:lineRule="auto"/>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Performance and equipment standards</w:t>
            </w:r>
          </w:p>
        </w:tc>
        <w:tc>
          <w:tcPr>
            <w:tcW w:w="2974" w:type="pct"/>
            <w:vAlign w:val="center"/>
          </w:tcPr>
          <w:p w14:paraId="1E2D4FB8"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Mandatory energy efficiency requirements for equipment used in industrial production and for overall energy use.</w:t>
            </w:r>
          </w:p>
        </w:tc>
        <w:tc>
          <w:tcPr>
            <w:tcW w:w="1012" w:type="pct"/>
            <w:vAlign w:val="center"/>
          </w:tcPr>
          <w:p w14:paraId="4B581185" w14:textId="2238E5D4"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DOI":"10.18356/ff6d1a84-en","ISBN":"9789280737660","author":[{"dropping-particle":"","family":"UNEP","given":"","non-dropping-particle":"","parse-names":false,"suffix":""}],"id":"ITEM-1","issued":{"date-parts":[["2019"]]},"publisher":"United Nations Environment Programme","publisher-place":"Nairobi, Kenya","title":"Emissions Gap Report 2019","type":"report"},"uris":["http://www.mendeley.com/documents/?uuid=0ca6f941-4554-4888-9ab9-13fc13544d43"]},{"id":"ITEM-2","itemData":{"author":[{"dropping-particle":"","family":"IEA","given":"","non-dropping-particle":"","parse-names":false,"suffix":""}],"id":"ITEM-2","issued":{"date-parts":[["2020"]]},"publisher-place":"Paris","title":"Tracking Industry 2020","type":"report"},"uris":["http://www.mendeley.com/documents/?uuid=7bb5ecd0-6b14-4d33-83a2-5a346b9f53ec"]}],"mendeley":{"formattedCitation":"(UNEP, 2019; IEA, 2020)","plainTextFormattedCitation":"(UNEP, 2019; IEA, 2020)","previouslyFormattedCitation":"(UNEP, 2019; IEA, 2020)"},"properties":{"noteIndex":0},"schema":"https://github.com/citation-style-language/schema/raw/master/csl-citation.json"}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(UNEP, 2019; IEA, 2020)</w:t>
            </w:r>
            <w:r w:rsidRPr="004675D3">
              <w:rPr>
                <w:rFonts w:ascii="Arial" w:hAnsi="Arial" w:cs="Arial"/>
                <w:sz w:val="16"/>
                <w:szCs w:val="18"/>
              </w:rPr>
              <w:fldChar w:fldCharType="end"/>
            </w:r>
          </w:p>
        </w:tc>
      </w:tr>
      <w:tr w:rsidR="00A87596" w:rsidRPr="004675D3" w14:paraId="59A868B3"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31FE72F1" w14:textId="77777777" w:rsidR="00A87596" w:rsidRPr="004675D3" w:rsidRDefault="00A87596" w:rsidP="00A87596">
            <w:pPr>
              <w:spacing w:line="240" w:lineRule="auto"/>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Support schemes for renewables</w:t>
            </w:r>
          </w:p>
        </w:tc>
        <w:tc>
          <w:tcPr>
            <w:tcW w:w="2974" w:type="pct"/>
            <w:vAlign w:val="center"/>
          </w:tcPr>
          <w:p w14:paraId="098C5BB3"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Policies that encourage or impose the uptake of renewables to address own energy consumption.</w:t>
            </w:r>
          </w:p>
        </w:tc>
        <w:tc>
          <w:tcPr>
            <w:tcW w:w="1012" w:type="pct"/>
            <w:vAlign w:val="center"/>
          </w:tcPr>
          <w:p w14:paraId="68A694D4" w14:textId="76F4FE99"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{"citationItems":[{"id":"ITEM-1","itemData":{"author":[{"dropping-particle":"","family":"BigEE","given":"","non-dropping-particle":"","parse-names":false,"suffix":""}],"id":"ITEM-1","issued":{"date-parts":[["2016"]]},"publisher":"bigEE initiative, Wuppertal Institute","title":"Buildings: Package Elements","type":"report"},"uris":["http://www.mendeley.com/documents/?uuid=7b4ccbc8-36e2-42df-9aea-638dbf385fea"]},{"id":"ITEM-2","itemData":{"author":[{"dropping-particle":"","family":"IEA","given":"","non-dropping-particle":"","parse-names":false,"suffix":""}],"id":"ITEM-2","issued":{"date-parts":[["2020"]]},"publisher-place":"Paris","title":"Tracking Industry 2020","type":"report"},"uris":["http://www.mendeley.com/documents/?uuid=7bb5ecd0-6b14-4d33-83a2-5a346b9f53ec"]}],"mendeley":{"formattedCitation":"(BigEE, 2016; IEA, 2020)","plainTextFormattedCitation":"(BigEE, 2016; IEA, 2020)","previouslyFormattedCitation":"(BigEE, 2016; IEA, 2020)"},"properties":{"noteIndex":0},"schema":"https://github.com/citation-style-language/schema/raw/master/csl-citation.json"}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(BigEE, 2016; IEA, 2020)</w:t>
            </w:r>
            <w:r w:rsidRPr="004675D3">
              <w:rPr>
                <w:rFonts w:ascii="Arial" w:hAnsi="Arial" w:cs="Arial"/>
                <w:sz w:val="16"/>
                <w:szCs w:val="18"/>
              </w:rPr>
              <w:fldChar w:fldCharType="end"/>
            </w:r>
            <w:r w:rsidRPr="004675D3">
              <w:rPr>
                <w:rFonts w:ascii="Arial" w:hAnsi="Arial" w:cs="Arial"/>
                <w:sz w:val="16"/>
                <w:szCs w:val="18"/>
              </w:rPr>
              <w:t xml:space="preserve"> </w:t>
            </w:r>
          </w:p>
        </w:tc>
      </w:tr>
      <w:tr w:rsidR="00A87596" w:rsidRPr="004675D3" w14:paraId="6874BF45"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2CC57325" w14:textId="77777777" w:rsidR="00A87596" w:rsidRPr="004675D3" w:rsidRDefault="00A87596" w:rsidP="00A87596">
            <w:pPr>
              <w:spacing w:line="240" w:lineRule="auto"/>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Support scheme for CCS</w:t>
            </w:r>
          </w:p>
        </w:tc>
        <w:tc>
          <w:tcPr>
            <w:tcW w:w="2974" w:type="pct"/>
            <w:vAlign w:val="center"/>
          </w:tcPr>
          <w:p w14:paraId="2DDF1D4C"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Support schemes for the development and uptake of Carbon Capture and Storage (CCS) in the industry sector.</w:t>
            </w:r>
          </w:p>
        </w:tc>
        <w:tc>
          <w:tcPr>
            <w:tcW w:w="1012" w:type="pct"/>
            <w:vAlign w:val="center"/>
          </w:tcPr>
          <w:p w14:paraId="6373B1B1" w14:textId="22DFCA93"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DOI":"10.1080/14693062.2017.1397495","ISSN":"1469-3062","author":[{"dropping-particle":"","family":"Kuramochi","given":"Takeshi","non-dropping-particle":"","parse-names":false,"suffix":""},{"dropping-particle":"","family":"Höhne","given":"Niklas","non-dropping-particle":"","parse-names":false,"suffix":""},{"dropping-particle":"","family":"Schaeffer","given":"Michiel","non-dropping-particle":"","parse-names":false,"suffix":""},{"dropping-particle":"","family":"Cantzler","given":"Jasmin","non-dropping-particle":"","parse-names":false,"suffix":""},{"dropping-particle":"","family":"Hare","given":"Bill","non-dropping-particle":"","parse-names":false,"suffix":""},{"dropping-particle":"","family":"Deng","given":"Yvonne","non-dropping-particle":"","parse-names":false,"suffix":""},{"dropping-particle":"","family":"Sterl","given":"Sebastian","non-dropping-particle":"","parse-names":false,"suffix":""},{"dropping-particle":"","family":"Hagemann","given":"Markus","non-dropping-particle":"","parse-names":false,"suffix":""},{"dropping-particle":"","family":"Rocha","given":"Marcia","non-dropping-particle":"","parse-names":false,"suffix":""},{"dropping-particle":"","family":"Yanguas-Parra","given":"Paola Andrea","non-dropping-particle":"","parse-names":false,"suffix":""},{"dropping-particle":"","family":"Mir","given":"Goher-Ur-Rehman","non-dropping-particle":"","parse-names":false,"suffix":""},{"dropping-particle":"","family":"Wong","given":"Lindee","non-dropping-particle":"","parse-names":false,"suffix":""},{"dropping-particle":"","family":"El-Laboudy","given":"Tarik","non-dropping-particle":"","parse-names":false,"suffix":""},{"dropping-particle":"","family":"Wouters","given":"Karlien","non-dropping-particle":"","parse-names":false,"suffix":""},{"dropping-particle":"","family":"Deryng","given":"Delphine","non-dropping-particle":"","parse-names":false,"suffix":""},{"dropping-particle":"","family":"Blok","given":"Kornelis","non-dropping-particle":"","parse-names":false,"suffix":""}],"container-title":"Climate Policy","id":"ITEM-1","issue":"3","issued":{"date-parts":[["2018","3","16"]]},"page":"287-305","title":"Ten key short-term sectoral benchmarks to limit warming to 1.5°C","type":"article-journal","volume":"18"},"uris":["http://www.mendeley.com/documents/?uuid=3032dc5f-5e33-4133-9cfd-4e1dfff78e31"]},{"id":"ITEM-2","itemData":{"author":[{"dropping-particle":"","family":"IEA","given":"","non-dropping-particle":"","parse-names":false,"suffix":""}],"id":"ITEM-2","issued":{"date-parts":[["2020"]]},"publisher-place":"Paris","title":"Tracking Industry 2020","type":"report"},"uris":["http://www.mendeley.com/documents/?uuid=7bb5ecd0-6b14-4d33-83a2-5a346b9f53ec"]},{"id":"ITEM-3","itemData":{"DOI":"10.1080/14693062.2016.1167009","ISSN":"1469-3062","author":[{"dropping-particle":"","family":"Åhman","given":"Max","non-dropping-particle":"","parse-names":false,"suffix":""},{"dropping-particle":"","family":"Nilsson","given":"Lars J","non-dropping-particle":"","parse-names":false,"suffix":""},{"dropping-particle":"","family":"Johansson","given":"Bengt","non-dropping-particle":"","parse-names":false,"suffix":""}],"container-title":"Climate Policy","id":"ITEM-3","issue":"5","issued":{"date-parts":[["2017","7","4"]]},"note":"doi: 10.1080/14693062.2016.1167009","page":"634-649","publisher":"Taylor &amp; Francis","title":"Global climate policy and deep decarbonization of energy-intensive industries","type":"article-journal","volume":"17"},"uris":["http://www.mendeley.com/documents/?uuid=cc32e7cc-e762-4a9f-b368-c56b22db043a"]}],"mendeley":{"formattedCitation":"(Åhman, Nilsson and Johansson, 2017; Kuramochi &lt;i&gt;et al.&lt;/i&gt;, 2018; IEA, 2020)","plainTextFormattedCitation":"(Åhman, Nilsson and Johansson, 2017; Kuramochi et al., 2018; IEA, 2020)","previouslyFormattedCitation":"(Åhman, Nilsson and Johansson, 2017; Kuramochi &lt;i&gt;et al.&lt;/i&gt;, 2018; IEA, 2020)"},"properties":{"noteIndex":0},"schema":"https://github.com/citation-style-language/schema/raw/master/csl-citation.json"}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(Åhman, Nilsson and Johansson, 2017; Kuramochi </w:t>
            </w:r>
            <w:r w:rsidR="009D4BA6" w:rsidRPr="004675D3">
              <w:rPr>
                <w:rFonts w:ascii="Arial" w:hAnsi="Arial" w:cs="Arial"/>
                <w:i/>
                <w:noProof/>
                <w:sz w:val="16"/>
                <w:szCs w:val="18"/>
              </w:rPr>
              <w:t>et al.</w:t>
            </w:r>
            <w:r w:rsidR="009D4BA6" w:rsidRPr="004675D3">
              <w:rPr>
                <w:rFonts w:ascii="Arial" w:hAnsi="Arial" w:cs="Arial"/>
                <w:noProof/>
                <w:sz w:val="16"/>
                <w:szCs w:val="18"/>
              </w:rPr>
              <w:t>, 2018; IEA, 2020)</w:t>
            </w:r>
            <w:r w:rsidRPr="004675D3">
              <w:rPr>
                <w:rFonts w:ascii="Arial" w:hAnsi="Arial" w:cs="Arial"/>
                <w:sz w:val="16"/>
                <w:szCs w:val="18"/>
              </w:rPr>
              <w:fldChar w:fldCharType="end"/>
            </w:r>
          </w:p>
        </w:tc>
      </w:tr>
      <w:tr w:rsidR="00A87596" w:rsidRPr="004675D3" w14:paraId="33CABC63"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61DAB074" w14:textId="77777777" w:rsidR="00A87596" w:rsidRPr="004675D3" w:rsidRDefault="00A87596" w:rsidP="00A87596">
            <w:pPr>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lastRenderedPageBreak/>
              <w:t>Support scheme for fuel switch</w:t>
            </w:r>
          </w:p>
        </w:tc>
        <w:tc>
          <w:tcPr>
            <w:tcW w:w="2974" w:type="pct"/>
            <w:vAlign w:val="center"/>
          </w:tcPr>
          <w:p w14:paraId="1DB02BAF"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Policies supporting fuel and feedstock switching away from fossil fuels, such as the use of biofuels, </w:t>
            </w:r>
            <w:proofErr w:type="gramStart"/>
            <w:r w:rsidRPr="004675D3">
              <w:rPr>
                <w:rFonts w:ascii="Arial" w:hAnsi="Arial" w:cs="Arial"/>
                <w:sz w:val="16"/>
                <w:szCs w:val="18"/>
              </w:rPr>
              <w:t>electrification</w:t>
            </w:r>
            <w:proofErr w:type="gramEnd"/>
            <w:r w:rsidRPr="004675D3">
              <w:rPr>
                <w:rFonts w:ascii="Arial" w:hAnsi="Arial" w:cs="Arial"/>
                <w:sz w:val="16"/>
                <w:szCs w:val="18"/>
              </w:rPr>
              <w:t xml:space="preserve"> or hydrogen.</w:t>
            </w:r>
          </w:p>
        </w:tc>
        <w:tc>
          <w:tcPr>
            <w:tcW w:w="1012" w:type="pct"/>
            <w:vAlign w:val="center"/>
          </w:tcPr>
          <w:p w14:paraId="0A888E60" w14:textId="65762472"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Fischedick","given":"M.","non-dropping-particle":"","parse-names":false,"suffix":""},{"dropping-particle":"","family":"Roy","given":"J.","non-dropping-particle":"","parse-names":false,"suffix":""},{"dropping-particle":"","family":"Abdel-Aziz","given":"A.","non-dropping-particle":"","parse-names":false,"suffix":""},{"dropping-particle":"","family":"Acquaye","given":"A.","non-dropping-particle":"","parse-names":false,"suffix":""},{"dropping-particle":"","family":"Allwood","given":"J. M.","non-dropping-particle":"","parse-names":false,"suffix":""},{"dropping-particle":"","family":"Ceron","given":"J.-P.","non-dropping-particle":"","parse-names":false,"suffix":""},{"dropping-particle":"","family":"Geng","given":"Y.","non-dropping-particle":"","parse-names":false,"suffix":""},{"dropping-particle":"","family":"Kheshgi","given":"H.","non-dropping-particle":"","parse-names":false,"suffix":""},{"dropping-particle":"","family":"Lanza","given":"A.","non-dropping-particle":"","parse-names":false,"suffix":""},{"dropping-particle":"","family":"Perczyk","given":"D.","non-dropping-particle":"","parse-names":false,"suffix":""},{"dropping-particle":"","family":"Price","given":"L.","non-dropping-particle":"","parse-names":false,"suffix":""},{"dropping-particle":"","family":"Santalla","given":"E.","non-dropping-particle":"","parse-names":false,"suffix":""},{"dropping-particle":"","family":"Sheinbaum","given":"C.","non-dropping-particle":"","parse-names":false,"suffix":""},{"dropping-particle":"","family":"Tanaka","given":"K.","non-dropping-particle":"","parse-names":false,"suffix":""}],"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S.Kadner","given":"","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-1","issued":{"date-parts":[["2014"]]},"number-of-pages":"739-810","publisher":"Cambridge University Press","publisher-place":"Cambridge, UK and New York, NY, USA","title":"Industry","type":"report"},"uris":["http://www.mendeley.com/documents/?uuid=18914594-d64d-4af9-bb4a-8e0db34c5e24"]},{"id":"ITEM-2","itemData":{"author":[{"dropping-particle":"","family":"Agora Energiewende","given":"","non-dropping-particle":"","parse-names":false,"suffix":""},{"dropping-particle":"","family":"Wuppertal Institut","given":"","non-dropping-particle":"","parse-names":false,"suffix":""}],"id":"ITEM-2","issued":{"date-parts":[["2019"]]},"title":"Climate-Neutral Industry. Key technologies and policy options for steel, chemicals and cement. Executive Summary","type":"article-journal"},"uris":["http://www.mendeley.com/documents/?uuid=55c42c21-dee1-43e5-b23e-c96fb7893a07"]},{"id":"ITEM-3","itemData":{"DOI":"10.18356/ff6d1a84-en","ISBN":"9789280737660","author":[{"dropping-particle":"","family":"UNEP","given":"","non-dropping-particle":"","parse-names":false,"suffix":""}],"id":"ITEM-3","issued":{"date-parts":[["2019"]]},"publisher":"United Nations Environment Programme","publisher-place":"Nairobi, Kenya","title":"Emissions Gap Report 2019","type":"report"},"uris":["http://www.mendeley.com/documents/?uuid=0ca6f941-4554-4888-9ab9-13fc13544d43"]}],"mendeley":{"formattedCitation":"(Fischedick &lt;i&gt;et al.&lt;/i&gt;, 2014; Agora Energiewende and Wuppertal Institut, 2019; UNEP, 2019)","plainTextFormattedCitation":"(Fischedick et al., 2014; Agora Energiewende and Wuppertal Institut, 2019; UNEP, 2019)","previouslyFormattedCitation":"(Fischedick &lt;i&gt;et al.&lt;/i&gt;, 2014; Agora Energiewende and Wuppertal Institut, 2019; UNEP, 2019)"},"properties":{"noteIndex":0},"schema":"https://github.com/citation-style-language/schema/raw/master/csl-citation.json"}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(Fischedick </w:t>
            </w:r>
            <w:r w:rsidR="009D4BA6" w:rsidRPr="004675D3">
              <w:rPr>
                <w:rFonts w:ascii="Arial" w:hAnsi="Arial" w:cs="Arial"/>
                <w:i/>
                <w:noProof/>
                <w:sz w:val="16"/>
                <w:szCs w:val="18"/>
              </w:rPr>
              <w:t>et al.</w:t>
            </w:r>
            <w:r w:rsidR="009D4BA6" w:rsidRPr="004675D3">
              <w:rPr>
                <w:rFonts w:ascii="Arial" w:hAnsi="Arial" w:cs="Arial"/>
                <w:noProof/>
                <w:sz w:val="16"/>
                <w:szCs w:val="18"/>
              </w:rPr>
              <w:t>, 2014; Agora Energiewende and Wuppertal Institut, 2019; UNEP, 2019)</w:t>
            </w:r>
            <w:r w:rsidRPr="004675D3">
              <w:rPr>
                <w:rFonts w:ascii="Arial" w:hAnsi="Arial" w:cs="Arial"/>
                <w:sz w:val="16"/>
                <w:szCs w:val="18"/>
              </w:rPr>
              <w:fldChar w:fldCharType="end"/>
            </w:r>
          </w:p>
        </w:tc>
      </w:tr>
      <w:tr w:rsidR="00A87596" w:rsidRPr="004675D3" w14:paraId="26D74324"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03A9EEB2" w14:textId="77777777" w:rsidR="00A87596" w:rsidRPr="004675D3" w:rsidRDefault="00A87596" w:rsidP="00A87596">
            <w:pPr>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Carbon dioxide removal technology development</w:t>
            </w:r>
          </w:p>
        </w:tc>
        <w:tc>
          <w:tcPr>
            <w:tcW w:w="2974" w:type="pct"/>
            <w:vAlign w:val="center"/>
          </w:tcPr>
          <w:p w14:paraId="2936D624"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 xml:space="preserve">Policies that aim to develop options for carbon dioxide removal such as Bioenergy with Carbon Capture and Storage (BECCS), Direct Air Capture with Carbon Storage (DACCS), enhanced weathering and mineral carbonation as well as develop stable, predictable, </w:t>
            </w:r>
            <w:proofErr w:type="gramStart"/>
            <w:r w:rsidRPr="004675D3">
              <w:rPr>
                <w:rFonts w:ascii="Arial" w:hAnsi="Arial" w:cs="Arial"/>
                <w:sz w:val="16"/>
                <w:szCs w:val="18"/>
              </w:rPr>
              <w:t>efficient</w:t>
            </w:r>
            <w:proofErr w:type="gramEnd"/>
            <w:r w:rsidRPr="004675D3">
              <w:rPr>
                <w:rFonts w:ascii="Arial" w:hAnsi="Arial" w:cs="Arial"/>
                <w:sz w:val="16"/>
                <w:szCs w:val="18"/>
              </w:rPr>
              <w:t xml:space="preserve"> and large support mechanism for mature CDR technologies.</w:t>
            </w:r>
          </w:p>
        </w:tc>
        <w:tc>
          <w:tcPr>
            <w:tcW w:w="1012" w:type="pct"/>
            <w:vAlign w:val="center"/>
          </w:tcPr>
          <w:p w14:paraId="37C1F4C0" w14:textId="515CD8EE"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{"citationItems":[{"id":"ITEM-1","itemData":{"author":[{"dropping-particle":"","family":"IPCC","given":"","non-dropping-particle":"","parse-names":false,"suffix":""}],"id":"ITEM-1","issued":{"date-parts":[["2018"]]},"number-of-pages":"1-630","publisher":"Intergovernmental Panel on Climate Change","title":"Global Warming of 1.5°C. An IPCC Special Report on the impacts of global warming of 1.5°C above pre-industrial levels and related global greenhouse gas emission pathways, in the context of strengthening the global response to the threat of climate change,","type":"report"},"uris":["http://www.mendeley.com/documents/?uuid=b444de0e-4948-47dd-8c1f-8bd2c069adc5"]},{"id":"ITEM-2","itemData":{"DOI":"10.1038/s41558-018-0119-8","ISSN":"1758-678X","abstract":"Mitigation scenarios that achieve the ambitious targets included in the Paris Agreement typically rely on greenhouse gas emission reductions combined with net carbon dioxide removal (CDR) from the atmosphere, mostly accomplished through large-scale application of bioenergy with carbon capture and storage, and afforestation. However, CDR strategies face several difficulties such as reliance on underground CO2 storage and competition for land with food production and biodiversity protection. The question arises whether alternative deep mitigation pathways exist. Here, using an integrated assessment model, we explore the impact of alternative pathways that include lifestyle change, additional reduction of non-CO2 greenhouse gases and more rapid electrification of energy demand based on renewable energy. Although these alternatives also face specific difficulties, they are found to significantly reduce the need for CDR, but not fully eliminate it. The alternatives offer a means to diversify transition pathways to meet the Paris Agreement targets, while simultaneously benefiting other sustainability goals.","author":[{"dropping-particle":"","family":"Vuuren","given":"Detlef P.","non-dropping-particle":"van","parse-names":false,"suffix":""},{"dropping-particle":"","family":"Stehfest","given":"Elke","non-dropping-particle":"","parse-names":false,"suffix":""},{"dropping-particle":"","family":"Gernaat","given":"David E. H. J.","non-dropping-particle":"","parse-names":false,"suffix":""},{"dropping-particle":"","family":"Berg","given":"Maarten","non-dropping-particle":"van den","parse-names":false,"suffix":""},{"dropping-particle":"","family":"Bijl","given":"David L.","non-dropping-particle":"","parse-names":false,"suffix":""},{"dropping-particle":"","family":"Boer","given":"Harmen Sytze","non-dropping-particle":"de","parse-names":false,"suffix":""},{"dropping-particle":"","family":"Daioglou","given":"Vassilis","non-dropping-particle":"","parse-names":false,"suffix":""},{"dropping-particle":"","family":"Doelman","given":"Jonathan C.","non-dropping-particle":"","parse-names":false,"suffix":""},{"dropping-particle":"","family":"Edelenbosch","given":"Oreane Y.","non-dropping-particle":"","parse-names":false,"suffix":""},{"dropping-particle":"","family":"Harmsen","given":"Mathijs","non-dropping-particle":"","parse-names":false,"suffix":""},{"dropping-particle":"","family":"Hof","given":"Andries F.","non-dropping-particle":"","parse-names":false,"suffix":""},{"dropping-particle":"","family":"Sluisveld","given":"Mariësse A. E.","non-dropping-particle":"van","parse-names":false,"suffix":""}],"container-title":"Nature Climate Change","id":"ITEM-2","issued":{"date-parts":[["2018"]]},"page":"1","title":"Alternative pathways to the 1.5 °C target reduce the need for negative emission technologies","type":"article-journal"},"uris":["http://www.mendeley.com/documents/?uuid=6b5e40e3-e2c0-48f2-ba95-fe45792b77cc"]},{"id":"ITEM-3","itemData":{"DOI":"10.1038/s41558-018-0198-6","ISSN":"1758-6798","abstract":"The Paris Agreement—which is aimed at holding global warming well below 2 °C while pursuing efforts to limit it below 1.5 °C—has initiated a bottom-up process of iteratively updating nationally determined contributions to reach these long-term goals. Achieving these goals implies a tight limit on cumulative net CO2 emissions, of which residual CO2 emissions from fossil fuels are the greatest impediment. Here, using an ensemble of seven integrated assessment models (IAMs), we explore the determinants of these residual emissions, focusing on sector-level contributions. Even when strengthened pre-2030 mitigation action is combined with very stringent long-term policies, cumulative residual CO2 emissions from fossil fuels remain at 850–1,150 GtCO2 during 2016–2100, despite carbon prices of US$130–420 per tCO2 by 2030. Thus, 640–950 GtCO2 removal is required for a likely chance of limiting end-of-century warming to 1.5 °C. In the absence of strengthened pre-2030 pledges, long-term CO2 commitments are increased by 160–330 GtCO2, further jeopardizing achievement of the 1.5 °C goal and increasing dependence on CO2 removal.","author":[{"dropping-particle":"","family":"Luderer","given":"Gunnar","non-dropping-particle":"","parse-names":false,"suffix":""},{"dropping-particle":"","family":"Vrontisi","given":"Zoi","non-dropping-particle":"","parse-names":false,"suffix":""},{"dropping-particle":"","family":"Bertram","given":"Christoph","non-dropping-particle":"","parse-names":false,"suffix":""},{"dropping-particle":"","family":"Edelenbosch","given":"Oreane Y","non-dropping-particle":"","parse-names":false,"suffix":""},{"dropping-particle":"","family":"Pietzcker","given":"Robert C","non-dropping-particle":"","parse-names":false,"suffix":""},{"dropping-particle":"","family":"Rogelj","given":"Joeri","non-dropping-particle":"","parse-names":false,"suffix":""},{"dropping-particle":"","family":"Boer","given":"Harmen Sytze","non-dropping-particle":"De","parse-names":false,"suffix":""},{"dropping-particle":"","family":"Drouet","given":"Laurent","non-dropping-particle":"","parse-names":false,"suffix":""},{"dropping-particle":"","family":"Emmerling","given":"Johannes","non-dropping-particle":"","parse-names":false,"suffix":""},{"dropping-particle":"","family":"Fricko","given":"Oliver","non-dropping-particle":"","parse-names":false,"suffix":""},{"dropping-particle":"","family":"Fujimori","given":"Shinichiro","non-dropping-particle":"","parse-names":false,"suffix":""},{"dropping-particle":"","family":"Havlík","given":"Petr","non-dropping-particle":"","parse-names":false,"suffix":""},{"dropping-particle":"","family":"Iyer","given":"Gokul","non-dropping-particle":"","parse-names":false,"suffix":""},{"dropping-particle":"","family":"Keramidas","given":"Kimon","non-dropping-particle":"","parse-names":false,"suffix":""},{"dropping-particle":"","family":"Kitous","given":"Alban","non-dropping-particle":"","parse-names":false,"suffix":""},{"dropping-particle":"","family":"Pehl","given":"Michaja","non-dropping-particle":"","parse-names":false,"suffix":""},{"dropping-particle":"","family":"Krey","given":"Volker","non-dropping-particle":"","parse-names":false,"suffix":""},{"dropping-particle":"","family":"Riahi","given":"Keywan","non-dropping-particle":"","parse-names":false,"suffix":""},{"dropping-particle":"","family":"Saveyn","given":"Bert","non-dropping-particle":"","parse-names":false,"suffix":""},{"dropping-particle":"","family":"Tavoni","given":"Massimo","non-dropping-particle":"","parse-names":false,"suffix":""},{"dropping-particle":"","family":"Vuuren","given":"Detlef P","non-dropping-particle":"Van","parse-names":false,"suffix":""},{"dropping-particle":"","family":"Kriegler","given":"Elmar","non-dropping-particle":"","parse-names":false,"suffix":""}],"container-title":"Nature Climate Change","id":"ITEM-3","issue":"7","issued":{"date-parts":[["2018"]]},"page":"626-633","title":"Residual fossil CO2 emissions in 1.5–2 °C pathways","type":"article-journal","volume":"8"},"uris":["http://www.mendeley.com/documents/?uuid=0ca3fbcc-92d7-4440-96bb-44bed4b5ab5b"]},{"id":"ITEM-4","itemData":{"DOI":"10.1080/14693062.2019.1634509","ISSN":"1469-3062","abstract":"ABSTRACT This paper explores policies for Negative Emissions Technologies (NETs), in an attempt to move beyond the supply-side focus of the majority of NETs research, as well as the current dominance of carbon pricing as the main NETs policy proposal. The paper identifies a number of existing policies from four key areas ? energy/transport, agriculture, sub-soil, and oceans ? which will have an impact on three NETs: Bioenergy with Carbon Capture and Storage (BECCS), Direct Air Capture (DAC), and terrestrial Enhanced Rock Weathering (ERW). We propose that non-climate co-benefits may be valuable in terms of the policy ?demand pull? for NETs; in particular, we find that ERW may provide multiple co-benefits which can be mandated through existing policy structures. However, interaction with numerous policy areas may also create barriers, particularly where there is tension between the priorities of different government departments. On the basis of existing and analogous policies from a range of geographical contexts and scales, this paper proposes four options for NETs policy that could be reasonably implemented in the near-term. We also argue that ERW demonstrates the importance of scale and framing, because the policy environment depends on whether it is framed as a soil amendment at local scales or as a climate stabilization technique at international scale. Key policy insights Co-benefits may assist the ?demand pull? for novel technologies by providing multiple policy angles for incentivisation rather than relying on a ?fix-all? policy such as a high carbon price. DAC with storage might be overly reliant on a high carbon price, because it only provides one core benefit ? that of atmospheric carbon reduction. ERW may provide multiple co-benefits which can be mandated through existing policy structures, but should focus on using waste rock rather than mining virgin material. We propose four near-term options for NETs policy: funding for small-scale BECCS demonstration and an international biomass certification mechanism; small-scale loans for ERW on farms and promotion of locally-sourced rock residues; amendment of fertilizer subsidy schemes to include silicate rock; and a clearer framework for licensing sub-soil access for CO2 storage.","author":[{"dropping-particle":"","family":"Cox","given":"Emily","non-dropping-particle":"","parse-names":false,"suffix":""},{"dropping-particle":"","family":"Edwards","given":"Neil Robert","non-dropping-particle":"","parse-names":false,"suffix":""}],"container-title":"Climate Policy","id":"ITEM-4","issue":"9","issued":{"date-parts":[["2019","10","21"]]},"note":"doi: 10.1080/14693062.2019.1634509","page":"1144-1156","publisher":"Taylor &amp; Francis","title":"Beyond carbon pricing: policy levers for negative emissions technologies","type":"article-journal","volume":"19"},"uris":["http://www.mendeley.com/documents/?uuid=f8bc3d1c-2a52-49f8-9596-0c36d5b8629b"]},{"id":"ITEM-5","itemData":{"DOI":"10.1080/14693062.2017.1397495","ISSN":"1469-3062","author":[{"dropping-particle":"","family":"Kuramochi","given":"Takeshi","non-dropping-particle":"","parse-names":false,"suffix":""},{"dropping-particle":"","family":"Höhne","given":"Niklas","non-dropping-particle":"","parse-names":false,"suffix":""},{"dropping-particle":"","family":"Schaeffer","given":"Michiel","non-dropping-particle":"","parse-names":false,"suffix":""},{"dropping-particle":"","family":"Cantzler","given":"Jasmin","non-dropping-particle":"","parse-names":false,"suffix":""},{"dropping-particle":"","family":"Hare","given":"Bill","non-dropping-particle":"","parse-names":false,"suffix":""},{"dropping-particle":"","family":"Deng","given":"Yvonne","non-dropping-particle":"","parse-names":false,"suffix":""},{"dropping-particle":"","family":"Sterl","given":"Sebastian","non-dropping-particle":"","parse-names":false,"suffix":""},{"dropping-particle":"","family":"Hagemann","given":"Markus","non-dropping-particle":"","parse-names":false,"suffix":""},{"dropping-particle":"","family":"Rocha","given":"Marcia","non-dropping-particle":"","parse-names":false,"suffix":""},{"dropping-particle":"","family":"Yanguas-Parra","given":"Paola Andrea","non-dropping-particle":"","parse-names":false,"suffix":""},{"dropping-particle":"","family":"Mir","given":"Goher-Ur-Rehman","non-dropping-particle":"","parse-names":false,"suffix":""},{"dropping-particle":"","family":"Wong","given":"Lindee","non-dropping-particle":"","parse-names":false,"suffix":""},{"dropping-particle":"","family":"El-Laboudy","given":"Tarik","non-dropping-particle":"","parse-names":false,"suffix":""},{"dropping-particle":"","family":"Wouters","given":"Karlien","non-dropping-particle":"","parse-names":false,"suffix":""},{"dropping-particle":"","family":"Deryng","given":"Delphine","non-dropping-particle":"","parse-names":false,"suffix":""},{"dropping-particle":"","family":"Blok","given":"Kornelis","non-dropping-particle":"","parse-names":false,"suffix":""}],"container-title":"Climate Policy","id":"ITEM-5","issue":"3","issued":{"date-parts":[["2018","3","16"]]},"page":"287-305","title":"Ten key short-term sectoral benchmarks to limit warming to 1.5°C","type":"article-journal","volume":"18"},"uris":["http://www.mendeley.com/documents/?uuid=3032dc5f-5e33-4133-9cfd-4e1dfff78e31"]}],"mendeley":{"formattedCitation":"(IPCC, 2018; Kuramochi &lt;i&gt;et al.&lt;/i&gt;, 2018; Luderer &lt;i&gt;et al.&lt;/i&gt;, 2018; van Vuuren &lt;i&gt;et al.&lt;/i&gt;, 2018; Cox and Edwards, 2019)","plainTextFormattedCitation":"(IPCC, 2018; Kuramochi et al., 2018; Luderer et al., 2018; van Vuuren et al., 2018; Cox and Edwards, 2019)","previouslyFormattedCitation":"(IPCC, 2018; Kuramochi &lt;i&gt;et al.&lt;/i&gt;, 2018; Luderer &lt;i&gt;et al.&lt;/i&gt;, 2018; van Vuuren &lt;i&gt;et al.&lt;/i&gt;, 2018; Cox and Edwards, 2019)"},"properties":{"noteIndex":0},"schema":"https://github.com/citation-style-language/schema/raw/master/csl-citation.json"}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(IPCC, 2018; Kuramochi </w:t>
            </w:r>
            <w:r w:rsidR="009D4BA6" w:rsidRPr="004675D3">
              <w:rPr>
                <w:rFonts w:ascii="Arial" w:hAnsi="Arial" w:cs="Arial"/>
                <w:i/>
                <w:noProof/>
                <w:sz w:val="16"/>
                <w:szCs w:val="18"/>
              </w:rPr>
              <w:t>et al.</w:t>
            </w:r>
            <w:r w:rsidR="009D4BA6" w:rsidRPr="004675D3">
              <w:rPr>
                <w:rFonts w:ascii="Arial" w:hAnsi="Arial" w:cs="Arial"/>
                <w:noProof/>
                <w:sz w:val="16"/>
                <w:szCs w:val="18"/>
              </w:rPr>
              <w:t xml:space="preserve">, 2018; Luderer </w:t>
            </w:r>
            <w:r w:rsidR="009D4BA6" w:rsidRPr="004675D3">
              <w:rPr>
                <w:rFonts w:ascii="Arial" w:hAnsi="Arial" w:cs="Arial"/>
                <w:i/>
                <w:noProof/>
                <w:sz w:val="16"/>
                <w:szCs w:val="18"/>
              </w:rPr>
              <w:t>et al.</w:t>
            </w:r>
            <w:r w:rsidR="009D4BA6" w:rsidRPr="004675D3">
              <w:rPr>
                <w:rFonts w:ascii="Arial" w:hAnsi="Arial" w:cs="Arial"/>
                <w:noProof/>
                <w:sz w:val="16"/>
                <w:szCs w:val="18"/>
              </w:rPr>
              <w:t xml:space="preserve">, 2018; van Vuuren </w:t>
            </w:r>
            <w:r w:rsidR="009D4BA6" w:rsidRPr="004675D3">
              <w:rPr>
                <w:rFonts w:ascii="Arial" w:hAnsi="Arial" w:cs="Arial"/>
                <w:i/>
                <w:noProof/>
                <w:sz w:val="16"/>
                <w:szCs w:val="18"/>
              </w:rPr>
              <w:t>et al.</w:t>
            </w:r>
            <w:r w:rsidR="009D4BA6" w:rsidRPr="004675D3">
              <w:rPr>
                <w:rFonts w:ascii="Arial" w:hAnsi="Arial" w:cs="Arial"/>
                <w:noProof/>
                <w:sz w:val="16"/>
                <w:szCs w:val="18"/>
              </w:rPr>
              <w:t>, 2018; Cox and Edwards, 2019)</w:t>
            </w:r>
            <w:r w:rsidRPr="004675D3">
              <w:rPr>
                <w:rFonts w:ascii="Arial" w:hAnsi="Arial" w:cs="Arial"/>
                <w:sz w:val="16"/>
                <w:szCs w:val="18"/>
              </w:rPr>
              <w:fldChar w:fldCharType="end"/>
            </w:r>
          </w:p>
        </w:tc>
      </w:tr>
      <w:tr w:rsidR="00A87596" w:rsidRPr="004675D3" w14:paraId="30DF31C3"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2B378A4E" w14:textId="77777777" w:rsidR="00A87596" w:rsidRPr="004675D3" w:rsidRDefault="00A87596" w:rsidP="00A87596">
            <w:pPr>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Landfill methane reduction</w:t>
            </w:r>
          </w:p>
        </w:tc>
        <w:tc>
          <w:tcPr>
            <w:tcW w:w="2974" w:type="pct"/>
            <w:vAlign w:val="center"/>
          </w:tcPr>
          <w:p w14:paraId="0CC19E18"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Policies that aim to address emissions associated with landfill waste and provide a clear mandate or strategies to reduce methane emissions.</w:t>
            </w:r>
          </w:p>
        </w:tc>
        <w:tc>
          <w:tcPr>
            <w:tcW w:w="1012" w:type="pct"/>
            <w:vAlign w:val="center"/>
          </w:tcPr>
          <w:p w14:paraId="7ADAA454" w14:textId="7634D7E0"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{"citationItems":[{"id":"ITEM-1","itemData":{"DOI":"10.1038/nclimate2804","ISSN":"1758-6798","abstract":"Landfill disposal of solid waste is one of the largest sources of methane emissions. Analysis of gas collection systems at more than 850 US landfill sites suggests that emissions have been underestimated by as much as 140 million tonnes per year.","author":[{"dropping-particle":"","family":"Powell","given":"Jon T","non-dropping-particle":"","parse-names":false,"suffix":""},{"dropping-particle":"","family":"Townsend","given":"Timothy G","non-dropping-particle":"","parse-names":false,"suffix":""},{"dropping-particle":"","family":"Zimmerman","given":"Julie B","non-dropping-particle":"","parse-names":false,"suffix":""}],"container-title":"Nature Climate Change","id":"ITEM-1","issue":"2","issued":{"date-parts":[["2016"]]},"page":"162-165","title":"Estimates of solid waste disposal rates and reduction targets for landfill gas emissions","type":"article-journal","volume":"6"},"uris":["http://www.mendeley.com/documents/?uuid=aef247ed-c653-453e-aab8-0329bddc5bc5"]}],"mendeley":{"formattedCitation":"(Powell, Townsend and Zimmerman, 2016)","plainTextFormattedCitation":"(Powell, Townsend and Zimmerman, 2016)","previouslyFormattedCitation":"(Powell, Townsend and Zimmerman, 2016)"},"properties":{"noteIndex":0},"schema":"https://github.com/citation-style-language/schema/raw/master/csl-citation.json"}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(Powell, Townsend and Zimmerman, 2016)</w:t>
            </w:r>
            <w:r w:rsidRPr="004675D3">
              <w:rPr>
                <w:rFonts w:ascii="Arial" w:hAnsi="Arial" w:cs="Arial"/>
                <w:sz w:val="16"/>
                <w:szCs w:val="18"/>
              </w:rPr>
              <w:fldChar w:fldCharType="end"/>
            </w:r>
          </w:p>
        </w:tc>
      </w:tr>
      <w:tr w:rsidR="00A87596" w:rsidRPr="004675D3" w14:paraId="36119BE1"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7D84DA6E" w14:textId="77777777" w:rsidR="00A87596" w:rsidRPr="004675D3" w:rsidRDefault="00A87596" w:rsidP="00A87596">
            <w:pPr>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Incentives to reduce CH4 from fuel exploration and production</w:t>
            </w:r>
          </w:p>
        </w:tc>
        <w:tc>
          <w:tcPr>
            <w:tcW w:w="2974" w:type="pct"/>
            <w:vAlign w:val="center"/>
          </w:tcPr>
          <w:p w14:paraId="6CBCB0EF"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Policies that regulate fossil fuel extraction, aiming at the reduction of fugitive emissions, particularly those associated with coal and gas exploration.</w:t>
            </w:r>
          </w:p>
        </w:tc>
        <w:tc>
          <w:tcPr>
            <w:tcW w:w="1012" w:type="pct"/>
            <w:vAlign w:val="center"/>
          </w:tcPr>
          <w:p w14:paraId="1DDCAE26" w14:textId="2E3E5426"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{"citationItems":[{"id":"ITEM-1","itemData":{"DOI":"10.1038/s41558-018-0337-0","ISSN":"1758-6798","abstract":"Despite the current ambivalence of the United States towards the Paris Agreement, national and local jurisdictions across the globe remain committed, and they are seeking ways to increase the ambition and effectiveness of their climate policies. One way forwards could be limiting the production — not just the consumption — of coal, gas and oil. Here we describe the rationale for, and CO2 emissions implications of, limiting oil production. Seven countries have recently imposed such limits, and we develop a case study for a potential addition to this group, the US state of California. We find that by ceasing the issuance of permits for new oil wells, California could reduce global CO2 emissions substantially and also enhance environmental justice in the state.","author":[{"dropping-particle":"","family":"Erickson","given":"Peter","non-dropping-particle":"","parse-names":false,"suffix":""},{"dropping-particle":"","family":"Lazarus","given":"Michael","non-dropping-particle":"","parse-names":false,"suffix":""},{"dropping-particle":"","family":"Piggot","given":"Georgia","non-dropping-particle":"","parse-names":false,"suffix":""}],"container-title":"Nature Climate Change","id":"ITEM-1","issue":"12","issued":{"date-parts":[["2018"]]},"page":"1037-1043","title":"Limiting fossil fuel production as the next big step in climate policy","type":"article-journal","volume":"8"},"uris":["http://www.mendeley.com/documents/?uuid=f3375c2f-dd4f-4fa6-a07d-1b610392df72"]},{"id":"ITEM-2","itemData":{"DOI":"10.1080/14693062.2018.1481356","author":[{"dropping-particle":"","family":"Roelfsema","given":"Mark","non-dropping-particle":"","parse-names":false,"suffix":""},{"dropping-particle":"","family":"Fekete","given":"Hanna","non-dropping-particle":"","parse-names":false,"suffix":""},{"dropping-particle":"","family":"Höhne","given":"Niklas","non-dropping-particle":"","parse-names":false,"suffix":""},{"dropping-particle":"","family":"Elzen","given":"Michel","non-dropping-particle":"den","parse-names":false,"suffix":""},{"dropping-particle":"","family":"Forsell","given":"Nicklas","non-dropping-particle":"","parse-names":false,"suffix":""},{"dropping-particle":"","family":"Kuramochi","given":"Takeshi","non-dropping-particle":"","parse-names":false,"suffix":""},{"dropping-particle":"","family":"Coninck","given":"Heleen","non-dropping-particle":"de","parse-names":false,"suffix":""},{"dropping-particle":"","family":"Vuuren","given":"Detlef P.","non-dropping-particle":"van","parse-names":false,"suffix":""}],"container-title":"Climate Policy","id":"ITEM-2","issue":"9","issued":{"date-parts":[["2018"]]},"page":"1103-1113","title":"Reducing global greenhouse gas emissions by replicating successful sector examples: the “good practice policies” scenario.","type":"article-journal","volume":"18"},"uris":["http://www.mendeley.com/documents/?uuid=bb5de496-326f-4e22-96c5-e1f95c5cdd94"]}],"mendeley":{"formattedCitation":"(Erickson, Lazarus and Piggot, 2018; Roelfsema &lt;i&gt;et al.&lt;/i&gt;, 2018)","plainTextFormattedCitation":"(Erickson, Lazarus and Piggot, 2018; Roelfsema et al., 2018)","previouslyFormattedCitation":"(Erickson, Lazarus and Piggot, 2018; Roelfsema &lt;i&gt;et al.&lt;/i&gt;,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(Erickson, Lazarus and Piggot, 2018; Roelfsema </w:t>
            </w:r>
            <w:r w:rsidR="009D4BA6" w:rsidRPr="004675D3">
              <w:rPr>
                <w:rFonts w:ascii="Arial" w:hAnsi="Arial" w:cs="Arial"/>
                <w:i/>
                <w:noProof/>
                <w:sz w:val="16"/>
                <w:szCs w:val="18"/>
              </w:rPr>
              <w:t>et al.</w:t>
            </w:r>
            <w:r w:rsidR="009D4BA6" w:rsidRPr="004675D3">
              <w:rPr>
                <w:rFonts w:ascii="Arial" w:hAnsi="Arial" w:cs="Arial"/>
                <w:noProof/>
                <w:sz w:val="16"/>
                <w:szCs w:val="18"/>
              </w:rPr>
              <w:t>, 2018)</w:t>
            </w:r>
            <w:r w:rsidRPr="004675D3">
              <w:rPr>
                <w:rFonts w:ascii="Arial" w:hAnsi="Arial" w:cs="Arial"/>
                <w:sz w:val="16"/>
                <w:szCs w:val="18"/>
              </w:rPr>
              <w:fldChar w:fldCharType="end"/>
            </w:r>
          </w:p>
        </w:tc>
      </w:tr>
      <w:tr w:rsidR="00A87596" w:rsidRPr="004675D3" w14:paraId="5C34C76E"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5C95E9CB" w14:textId="77777777" w:rsidR="00A87596" w:rsidRPr="004675D3" w:rsidRDefault="00A87596" w:rsidP="00A87596">
            <w:pPr>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Incentives to reduce N2O from industrial processes</w:t>
            </w:r>
          </w:p>
        </w:tc>
        <w:tc>
          <w:tcPr>
            <w:tcW w:w="2974" w:type="pct"/>
            <w:vAlign w:val="center"/>
          </w:tcPr>
          <w:p w14:paraId="7E36EF87"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Policies addressing non-energy related industry emissions, especially those related to chemical processes.</w:t>
            </w:r>
          </w:p>
        </w:tc>
        <w:tc>
          <w:tcPr>
            <w:tcW w:w="1012" w:type="pct"/>
            <w:vAlign w:val="center"/>
          </w:tcPr>
          <w:p w14:paraId="1C9005A2" w14:textId="6F8300C5"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{"citationItems":[{"id":"ITEM-1","itemData":{"author":[{"dropping-particle":"","family":"IEA","given":"","non-dropping-particle":"","parse-names":false,"suffix":""}],"id":"ITEM-1","issued":{"date-parts":[["2015"]]},"publisher":"International Energy Agency","publisher-place":"Paris, France","title":"Energy and climate change. World Energy Outlook Special Report.","type":"report"},"uris":["http://www.mendeley.com/documents/?uuid=bdb55b1e-84ff-46fc-9690-a4426dffefc0"]},{"id":"ITEM-2","itemData":{"author":[{"dropping-particle":"","family":"Somanathan","given":"E.","non-dropping-particle":"","parse-names":false,"suffix":""},{"dropping-particle":"","family":"Sterner","given":"T.","non-dropping-particle":"","parse-names":false,"suffix":""},{"dropping-particle":"","family":"Sugiyama","given":"T.","non-dropping-particle":"","parse-names":false,"suffix":""},{"dropping-particle":"","family":"Chimanikire","given":"D.","non-dropping-particle":"","parse-names":false,"suffix":""},{"dropping-particle":"","family":"Dubash","given":"N. K.","non-dropping-particle":"","parse-names":false,"suffix":""},{"dropping-particle":"","family":"Essandoh-Yeddu","given":"J.","non-dropping-particle":"","parse-names":false,"suffix":""},{"dropping-particle":"","family":"S. Fifita","given":"L. Goulder","non-dropping-particle":"","parse-names":false,"suffix":""},{"dropping-particle":"","family":"Jaffe","given":"A.","non-dropping-particle":"","parse-names":false,"suffix":""},{"dropping-particle":"","family":"Labandeira","given":"X.","non-dropping-particle":"","parse-names":false,"suffix":""},{"dropping-particle":"","family":"Managi","given":"S.","non-dropping-particle":"","parse-names":false,"suffix":""},{"dropping-particle":"","family":"Mitchell","given":"C.","non-dropping-particle":"","parse-names":false,"suffix":""},{"dropping-particle":"","family":"Montero","given":"J. P.","non-dropping-particle":"","parse-names":false,"suffix":""},{"dropping-particle":"","family":"Teng","given":"F.","non-dropping-particle":"","parse-names":false,"suffix":""},{"dropping-particle":"","family":"Zylicz","given":"T.","non-dropping-particle":"","parse-names":false,"suffix":""}],"chapter-number":"15","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S.Kadner","given":"","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-2","issued":{"date-parts":[["2014"]]},"publisher":"Cambridge University Press","publisher-place":"Cambridge, United Kingdom and New York, NY, USA","title":"National and Sub-national Policies and Institutions","type":"report"},"uris":["http://www.mendeley.com/documents/?uuid=7e870f82-b225-4d10-acc6-0ed2d4bc80f5"]}],"mendeley":{"formattedCitation":"(Somanathan &lt;i&gt;et al.&lt;/i&gt;, 2014; IEA, 2015)","plainTextFormattedCitation":"(Somanathan et al., 2014; IEA, 2015)","previouslyFormattedCitation":"(Somanathan &lt;i&gt;et al.&lt;/i&gt;, 2014; IEA, 2015)"},"properties":{"noteIndex":0},"schema":"https://github.com/citation-style-language/schema/raw/master/csl-citation.json"}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(Somanathan </w:t>
            </w:r>
            <w:r w:rsidR="009D4BA6" w:rsidRPr="004675D3">
              <w:rPr>
                <w:rFonts w:ascii="Arial" w:hAnsi="Arial" w:cs="Arial"/>
                <w:i/>
                <w:noProof/>
                <w:sz w:val="16"/>
                <w:szCs w:val="18"/>
              </w:rPr>
              <w:t>et al.</w:t>
            </w:r>
            <w:r w:rsidR="009D4BA6" w:rsidRPr="004675D3">
              <w:rPr>
                <w:rFonts w:ascii="Arial" w:hAnsi="Arial" w:cs="Arial"/>
                <w:noProof/>
                <w:sz w:val="16"/>
                <w:szCs w:val="18"/>
              </w:rPr>
              <w:t>, 2014; IEA, 2015)</w:t>
            </w:r>
            <w:r w:rsidRPr="004675D3">
              <w:rPr>
                <w:rFonts w:ascii="Arial" w:hAnsi="Arial" w:cs="Arial"/>
                <w:sz w:val="16"/>
                <w:szCs w:val="18"/>
              </w:rPr>
              <w:fldChar w:fldCharType="end"/>
            </w:r>
          </w:p>
        </w:tc>
      </w:tr>
      <w:tr w:rsidR="00A87596" w:rsidRPr="004675D3" w14:paraId="41143AF6" w14:textId="77777777" w:rsidTr="00A87596">
        <w:tc>
          <w:tcPr>
            <w:cnfStyle w:val="001000000000" w:firstRow="0" w:lastRow="0" w:firstColumn="1" w:lastColumn="0" w:oddVBand="0" w:evenVBand="0" w:oddHBand="0" w:evenHBand="0" w:firstRowFirstColumn="0" w:firstRowLastColumn="0" w:lastRowFirstColumn="0" w:lastRowLastColumn="0"/>
            <w:tcW w:w="1014" w:type="pct"/>
            <w:vAlign w:val="center"/>
          </w:tcPr>
          <w:p w14:paraId="6FD3ADE9" w14:textId="77777777" w:rsidR="00A87596" w:rsidRPr="004675D3" w:rsidRDefault="00A87596" w:rsidP="00A87596">
            <w:pPr>
              <w:jc w:val="left"/>
              <w:rPr>
                <w:rFonts w:ascii="Arial" w:eastAsia="Times New Roman" w:hAnsi="Arial" w:cs="Arial"/>
                <w:noProof/>
                <w:snapToGrid w:val="0"/>
                <w:color w:val="000000"/>
                <w:sz w:val="16"/>
                <w:szCs w:val="18"/>
                <w:lang w:eastAsia="ja-JP"/>
              </w:rPr>
            </w:pPr>
            <w:r w:rsidRPr="004675D3">
              <w:rPr>
                <w:rFonts w:ascii="Arial" w:eastAsia="Times New Roman" w:hAnsi="Arial" w:cs="Arial"/>
                <w:noProof/>
                <w:snapToGrid w:val="0"/>
                <w:color w:val="000000"/>
                <w:sz w:val="16"/>
                <w:szCs w:val="18"/>
                <w:lang w:eastAsia="ja-JP"/>
              </w:rPr>
              <w:t>Incentives to reduce fluorinated gases</w:t>
            </w:r>
          </w:p>
        </w:tc>
        <w:tc>
          <w:tcPr>
            <w:tcW w:w="2974" w:type="pct"/>
            <w:vAlign w:val="center"/>
          </w:tcPr>
          <w:p w14:paraId="26C3B384"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t>Regulations to accelerate the phase out of F-gases, originally introduced to replace ozone-harming chemicals.</w:t>
            </w:r>
          </w:p>
        </w:tc>
        <w:tc>
          <w:tcPr>
            <w:tcW w:w="1012" w:type="pct"/>
            <w:vAlign w:val="center"/>
          </w:tcPr>
          <w:p w14:paraId="3CCA89C6" w14:textId="15A9AC32"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8"/>
              </w:rPr>
            </w:pPr>
            <w:r w:rsidRPr="004675D3">
              <w:rPr>
                <w:rFonts w:ascii="Arial" w:hAnsi="Arial" w:cs="Arial"/>
                <w:sz w:val="16"/>
                <w:szCs w:val="18"/>
              </w:rPr>
              <w:fldChar w:fldCharType="begin" w:fldLock="1"/>
            </w:r>
            <w:r w:rsidR="009D4BA6" w:rsidRPr="004675D3">
              <w:rPr>
                <w:rFonts w:ascii="Arial" w:hAnsi="Arial" w:cs="Arial"/>
                <w:sz w:val="16"/>
                <w:szCs w:val="18"/>
              </w:rPr>
              <w:instrText>ADDIN CSL_CITATION {"citationItems":[{"id":"ITEM-1","itemData":{"author":[{"dropping-particle":"","family":"IEA","given":"","non-dropping-particle":"","parse-names":false,"suffix":""}],"id":"ITEM-1","issued":{"date-parts":[["2015"]]},"publisher":"International Energy Agency","publisher-place":"Paris, France","title":"Energy and climate change. World Energy Outlook Special Report.","type":"report"},"uris":["http://www.mendeley.com/documents/?uuid=bdb55b1e-84ff-46fc-9690-a4426dffefc0"]},{"id":"ITEM-2","itemData":{"ISBN":"9781107654815","author":[{"dropping-particle":"","family":"IPCC","given":"","non-dropping-particle":"","parse-names":false,"suffix":""}],"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Kadner","given":"S.","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-2","issued":{"date-parts":[["2014"]]},"publisher":"Cambridge University Press","publisher-place":"Cambridge, UK and New York, NY","title":"Summary for Policymakers","type":"report"},"uris":["http://www.mendeley.com/documents/?uuid=bae1ec7b-5715-4250-a1a4-b415b93c982f"]},{"id":"ITEM-3","itemData":{"DOI":"10.1080/14693062.2018.1481356","author":[{"dropping-particle":"","family":"Roelfsema","given":"Mark","non-dropping-particle":"","parse-names":false,"suffix":""},{"dropping-particle":"","family":"Fekete","given":"Hanna","non-dropping-particle":"","parse-names":false,"suffix":""},{"dropping-particle":"","family":"Höhne","given":"Niklas","non-dropping-particle":"","parse-names":false,"suffix":""},{"dropping-particle":"","family":"Elzen","given":"Michel","non-dropping-particle":"den","parse-names":false,"suffix":""},{"dropping-particle":"","family":"Forsell","given":"Nicklas","non-dropping-particle":"","parse-names":false,"suffix":""},{"dropping-particle":"","family":"Kuramochi","given":"Takeshi","non-dropping-particle":"","parse-names":false,"suffix":""},{"dropping-particle":"","family":"Coninck","given":"Heleen","non-dropping-particle":"de","parse-names":false,"suffix":""},{"dropping-particle":"","family":"Vuuren","given":"Detlef P.","non-dropping-particle":"van","parse-names":false,"suffix":""}],"container-title":"Climate Policy","id":"ITEM-3","issue":"9","issued":{"date-parts":[["2018"]]},"page":"1103-1113","title":"Reducing global greenhouse gas emissions by replicating successful sector examples: the “good practice policies” scenario.","type":"article-journal","volume":"18"},"uris":["http://www.mendeley.com/documents/?uuid=bb5de496-326f-4e22-96c5-e1f95c5cdd94"]}],"mendeley":{"formattedCitation":"(IPCC, 2014; IEA, 2015; Roelfsema &lt;i&gt;et al.&lt;/i&gt;, 2018)","plainTextFormattedCitation":"(IPCC, 2014; IEA, 2015; Roelfsema et al., 2018)","previouslyFormattedCitation":"(IPCC, 2014; IEA, 2015; Roelfsema &lt;i&gt;et al.&lt;/i&gt;, 2018)"},"properties":{"noteIndex":0},"schema":"https://github.com/citation-style-language/schema/raw/master/csl-citation.json"}</w:instrText>
            </w:r>
            <w:r w:rsidRPr="004675D3">
              <w:rPr>
                <w:rFonts w:ascii="Arial" w:hAnsi="Arial" w:cs="Arial"/>
                <w:sz w:val="16"/>
                <w:szCs w:val="18"/>
              </w:rPr>
              <w:fldChar w:fldCharType="separate"/>
            </w:r>
            <w:r w:rsidR="009D4BA6" w:rsidRPr="004675D3">
              <w:rPr>
                <w:rFonts w:ascii="Arial" w:hAnsi="Arial" w:cs="Arial"/>
                <w:noProof/>
                <w:sz w:val="16"/>
                <w:szCs w:val="18"/>
              </w:rPr>
              <w:t xml:space="preserve">(IPCC, 2014; IEA, 2015; Roelfsema </w:t>
            </w:r>
            <w:r w:rsidR="009D4BA6" w:rsidRPr="004675D3">
              <w:rPr>
                <w:rFonts w:ascii="Arial" w:hAnsi="Arial" w:cs="Arial"/>
                <w:i/>
                <w:noProof/>
                <w:sz w:val="16"/>
                <w:szCs w:val="18"/>
              </w:rPr>
              <w:t>et al.</w:t>
            </w:r>
            <w:r w:rsidR="009D4BA6" w:rsidRPr="004675D3">
              <w:rPr>
                <w:rFonts w:ascii="Arial" w:hAnsi="Arial" w:cs="Arial"/>
                <w:noProof/>
                <w:sz w:val="16"/>
                <w:szCs w:val="18"/>
              </w:rPr>
              <w:t>, 2018)</w:t>
            </w:r>
            <w:r w:rsidRPr="004675D3">
              <w:rPr>
                <w:rFonts w:ascii="Arial" w:hAnsi="Arial" w:cs="Arial"/>
                <w:sz w:val="16"/>
                <w:szCs w:val="18"/>
              </w:rPr>
              <w:fldChar w:fldCharType="end"/>
            </w:r>
          </w:p>
        </w:tc>
      </w:tr>
    </w:tbl>
    <w:p w14:paraId="27E86B9F" w14:textId="7A103CB8" w:rsidR="00A87596" w:rsidRPr="004675D3" w:rsidRDefault="00A87596" w:rsidP="00A87596">
      <w:pPr>
        <w:pStyle w:val="Caption"/>
        <w:keepNext/>
        <w:rPr>
          <w:rFonts w:ascii="Arial" w:hAnsi="Arial" w:cs="Arial"/>
        </w:rPr>
      </w:pPr>
      <w:bookmarkStart w:id="11" w:name="_Ref48231567"/>
      <w:bookmarkStart w:id="12" w:name="_Toc76122086"/>
      <w:r w:rsidRPr="004675D3">
        <w:rPr>
          <w:rFonts w:ascii="Arial" w:hAnsi="Arial" w:cs="Arial"/>
        </w:rPr>
        <w:t xml:space="preserve">Table </w:t>
      </w:r>
      <w:r w:rsidRPr="004675D3">
        <w:rPr>
          <w:rFonts w:ascii="Arial" w:hAnsi="Arial" w:cs="Arial"/>
        </w:rPr>
        <w:fldChar w:fldCharType="begin"/>
      </w:r>
      <w:r w:rsidRPr="004675D3">
        <w:rPr>
          <w:rFonts w:ascii="Arial" w:hAnsi="Arial" w:cs="Arial"/>
        </w:rPr>
        <w:instrText xml:space="preserve"> SEQ Table \* ARABIC </w:instrText>
      </w:r>
      <w:r w:rsidRPr="004675D3">
        <w:rPr>
          <w:rFonts w:ascii="Arial" w:hAnsi="Arial" w:cs="Arial"/>
        </w:rPr>
        <w:fldChar w:fldCharType="separate"/>
      </w:r>
      <w:r w:rsidR="007F3B3C">
        <w:rPr>
          <w:rFonts w:ascii="Arial" w:hAnsi="Arial" w:cs="Arial"/>
          <w:noProof/>
        </w:rPr>
        <w:t>4</w:t>
      </w:r>
      <w:r w:rsidRPr="004675D3">
        <w:rPr>
          <w:rFonts w:ascii="Arial" w:hAnsi="Arial" w:cs="Arial"/>
        </w:rPr>
        <w:fldChar w:fldCharType="end"/>
      </w:r>
      <w:bookmarkEnd w:id="11"/>
      <w:r w:rsidRPr="004675D3">
        <w:rPr>
          <w:rFonts w:ascii="Arial" w:hAnsi="Arial" w:cs="Arial"/>
        </w:rPr>
        <w:t xml:space="preserve"> Policy options classified under the sector ‘buildings’</w:t>
      </w:r>
      <w:bookmarkEnd w:id="12"/>
    </w:p>
    <w:tbl>
      <w:tblPr>
        <w:tblStyle w:val="GridTable1Light-Accent31"/>
        <w:tblW w:w="5000" w:type="pct"/>
        <w:tblLook w:val="04A0" w:firstRow="1" w:lastRow="0" w:firstColumn="1" w:lastColumn="0" w:noHBand="0" w:noVBand="1"/>
      </w:tblPr>
      <w:tblGrid>
        <w:gridCol w:w="2261"/>
        <w:gridCol w:w="4928"/>
        <w:gridCol w:w="1827"/>
      </w:tblGrid>
      <w:tr w:rsidR="00A87596" w:rsidRPr="004675D3" w14:paraId="65CD04E4" w14:textId="77777777" w:rsidTr="00A875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4" w:type="pct"/>
            <w:vAlign w:val="center"/>
          </w:tcPr>
          <w:p w14:paraId="1A757EAB" w14:textId="77777777" w:rsidR="00A87596" w:rsidRPr="004675D3" w:rsidRDefault="00A87596" w:rsidP="00A87596">
            <w:pPr>
              <w:jc w:val="left"/>
              <w:rPr>
                <w:rFonts w:ascii="Arial" w:hAnsi="Arial" w:cs="Arial"/>
                <w:sz w:val="16"/>
                <w:szCs w:val="16"/>
              </w:rPr>
            </w:pPr>
            <w:r w:rsidRPr="004675D3">
              <w:rPr>
                <w:rFonts w:ascii="Arial" w:hAnsi="Arial" w:cs="Arial"/>
                <w:sz w:val="16"/>
                <w:szCs w:val="16"/>
              </w:rPr>
              <w:t>Policy option</w:t>
            </w:r>
          </w:p>
        </w:tc>
        <w:tc>
          <w:tcPr>
            <w:tcW w:w="2733" w:type="pct"/>
            <w:vAlign w:val="center"/>
          </w:tcPr>
          <w:p w14:paraId="288919AC" w14:textId="77777777" w:rsidR="00A87596" w:rsidRPr="004675D3" w:rsidRDefault="00A87596" w:rsidP="00A87596">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Description</w:t>
            </w:r>
          </w:p>
        </w:tc>
        <w:tc>
          <w:tcPr>
            <w:tcW w:w="1013" w:type="pct"/>
            <w:vAlign w:val="center"/>
          </w:tcPr>
          <w:p w14:paraId="2EAAB420" w14:textId="77777777" w:rsidR="00A87596" w:rsidRPr="004675D3" w:rsidRDefault="00A87596" w:rsidP="00A87596">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8"/>
              </w:rPr>
              <w:t xml:space="preserve">Further information </w:t>
            </w:r>
          </w:p>
        </w:tc>
      </w:tr>
      <w:tr w:rsidR="00A87596" w:rsidRPr="004675D3" w14:paraId="39949858" w14:textId="77777777" w:rsidTr="00A87596">
        <w:tc>
          <w:tcPr>
            <w:cnfStyle w:val="001000000000" w:firstRow="0" w:lastRow="0" w:firstColumn="1" w:lastColumn="0" w:oddVBand="0" w:evenVBand="0" w:oddHBand="0" w:evenHBand="0" w:firstRowFirstColumn="0" w:firstRowLastColumn="0" w:lastRowFirstColumn="0" w:lastRowLastColumn="0"/>
            <w:tcW w:w="1254" w:type="pct"/>
            <w:vAlign w:val="center"/>
          </w:tcPr>
          <w:p w14:paraId="054193CC"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color w:val="000000"/>
                <w:sz w:val="16"/>
                <w:szCs w:val="16"/>
                <w:lang w:eastAsia="ja-JP"/>
              </w:rPr>
              <w:t>Urban planning strategies</w:t>
            </w:r>
          </w:p>
        </w:tc>
        <w:tc>
          <w:tcPr>
            <w:tcW w:w="2733" w:type="pct"/>
            <w:vAlign w:val="center"/>
          </w:tcPr>
          <w:p w14:paraId="3FCF9AFA"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Policies that address the overall future directions for the retrofit of old buildings, promotion of compact cities, improving infrastructure that promotes energy efficiency and use of renewable energy.</w:t>
            </w:r>
          </w:p>
        </w:tc>
        <w:tc>
          <w:tcPr>
            <w:tcW w:w="1013" w:type="pct"/>
            <w:vAlign w:val="center"/>
          </w:tcPr>
          <w:p w14:paraId="1A79468F" w14:textId="15A7542F"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{"citationItems":[{"id":"ITEM-1","itemData":{"author":[{"dropping-particle":"","family":"BigEE","given":"","non-dropping-particle":"","parse-names":false,"suffix":""}],"id":"ITEM-1","issued":{"date-parts":[["2016"]]},"publisher":"bigEE initiative, Wuppertal Institute","title":"Buildings: Package Elements","type":"report"},"uris":["http://www.mendeley.com/documents/?uuid=7b4ccbc8-36e2-42df-9aea-638dbf385fea"]},{"id":"ITEM-2","itemData":{"author":[{"dropping-particle":"","family":"UNFCCC","given":"","non-dropping-particle":"","parse-names":false,"suffix":""}],"id":"ITEM-2","issued":{"date-parts":[["2015"]]},"publisher":"United Nations Framework Convention on Climate Change","publisher-place":"Bonn, Germany","title":"Mitigation benefits of actions , initiatives and options to enhance mitigation ambition. Technical paper 2015","type":"report"},"uris":["http://www.mendeley.com/documents/?uuid=3d9000a5-7715-452b-b155-91aed9c35bbc"]},{"id":"ITEM-3","itemData":{"author":[{"dropping-particle":"","family":"Somanathan","given":"E.","non-dropping-particle":"","parse-names":false,"suffix":""},{"dropping-particle":"","family":"Sterner","given":"T.","non-dropping-particle":"","parse-names":false,"suffix":""},{"dropping-particle":"","family":"Sugiyama","given":"T.","non-dropping-particle":"","parse-names":false,"suffix":""},{"dropping-particle":"","family":"Chimanikire","given":"D.","non-dropping-particle":"","parse-names":false,"suffix":""},{"dropping-particle":"","family":"Dubash","given":"N. K.","non-dropping-particle":"","parse-names":false,"suffix":""},{"dropping-particle":"","family":"Essandoh-Yeddu","given":"J.","non-dropping-particle":"","parse-names":false,"suffix":""},{"dropping-particle":"","family":"S. Fifita","given":"L. Goulder","non-dropping-particle":"","parse-names":false,"suffix":""},{"dropping-particle":"","family":"Jaffe","given":"A.","non-dropping-particle":"","parse-names":false,"suffix":""},{"dropping-particle":"","family":"Labandeira","given":"X.","non-dropping-particle":"","parse-names":false,"suffix":""},{"dropping-particle":"","family":"Managi","given":"S.","non-dropping-particle":"","parse-names":false,"suffix":""},{"dropping-particle":"","family":"Mitchell","given":"C.","non-dropping-particle":"","parse-names":false,"suffix":""},{"dropping-particle":"","family":"Montero","given":"J. P.","non-dropping-particle":"","parse-names":false,"suffix":""},{"dropping-particle":"","family":"Teng","given":"F.","non-dropping-particle":"","parse-names":false,"suffix":""},{"dropping-particle":"","family":"Zylicz","given":"T.","non-dropping-particle":"","parse-names":false,"suffix":""}],"chapter-number":"15","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S.Kadner","given":"","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-3","issued":{"date-parts":[["2014"]]},"publisher":"Cambridge University Press","publisher-place":"Cambridge, United Kingdom and New York, NY, USA","title":"National and Sub-national Policies and Institutions","type":"report"},"uris":["http://www.mendeley.com/documents/?uuid=7e870f82-b225-4d10-acc6-0ed2d4bc80f5"]},{"id":"ITEM-4","itemData":{"DOI":"https://doi.org/10.1016/j.habitatint.2011.02.001","ISSN":"0197-3975","abstract":"The transport sector contributes significantly to the emission of global greenhouse gases (GHGs) resulting in a rise in global temperature and climate change. A troubling aspect of emissions from the transport sector is that they are increasing rapidly. With the ongoing rapid increase in population, expansion of middle class in developing countries, and availability of cheaper vehicles such as Tata Nano in India, the desire to own private vehicles is within reach now than ever for millions of people in the developing world. This could have a huge implication on ongoing effort towards containment of GHG emissions. We look at the role of urban design forms – settlement density – housing and employment activities and the effects they could have in reducing travel demands, motor vehicle dependency and GHG emissions. Although urban planning has a limited effect on the reduction of GHG emissions, in the short term, due to the time needed to build up the necessary infrastructures, in the long term, it can be very effective through the shift from private vehicle dependency to public and other alternative environmentally friendly modes of transports (such as walking and cycling). A mixture of high residential and employment density could influence shorter commuter journeys and a reduction in private vehicle use if it is supported by an efficient public transport system and appropriate fiscal and regulatory instruments. Among the set of available instruments to reduce GHGs from the transport sector, urban planning, may be equally important, if not more to contain emissions from the transport sector.","author":[{"dropping-particle":"","family":"Dulal","given":"Hari Bansha","non-dropping-particle":"","parse-names":false,"suffix":""},{"dropping-particle":"","family":"Brodnig","given":"Gernot","non-dropping-particle":"","parse-names":false,"suffix":""},{"dropping-particle":"","family":"Onoriose","given":"Charity G","non-dropping-particle":"","parse-names":false,"suffix":""}],"container-title":"Habitat International","id":"ITEM-4","issue":"3","issued":{"date-parts":[["2011"]]},"page":"494-500","title":"Climate change mitigation in the transport sector through urban planning: A review","type":"article-journal","volume":"35"},"uris":["http://www.mendeley.com/documents/?uuid=7431d2d3-55f6-4566-9e99-337ce4235cb1"]}],"mendeley":{"formattedCitation":"(Dulal, Brodnig and Onoriose, 2011; Somanathan &lt;i&gt;et al.&lt;/i&gt;, 2014; UNFCCC, 2015; BigEE, 2016)","plainTextFormattedCitation":"(Dulal, Brodnig and Onoriose, 2011; Somanathan et al., 2014; UNFCCC, 2015; BigEE, 2016)","previouslyFormattedCitation":"(Dulal, Brodnig and Onoriose, 2011; Somanathan &lt;i&gt;et al.&lt;/i&gt;, 2014; UNFCCC, 2015; BigEE, 2016)"},"properties":{"noteIndex":0},"schema":"https://github.com/citation-style-language/schema/raw/master/csl-citation.json"}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(Dulal, Brodnig and Onoriose, 2011; Somanathan </w:t>
            </w:r>
            <w:r w:rsidR="009D4BA6" w:rsidRPr="004675D3">
              <w:rPr>
                <w:rFonts w:ascii="Arial" w:hAnsi="Arial" w:cs="Arial"/>
                <w:i/>
                <w:noProof/>
                <w:sz w:val="16"/>
                <w:szCs w:val="16"/>
              </w:rPr>
              <w:t>et al.</w:t>
            </w:r>
            <w:r w:rsidR="009D4BA6" w:rsidRPr="004675D3">
              <w:rPr>
                <w:rFonts w:ascii="Arial" w:hAnsi="Arial" w:cs="Arial"/>
                <w:noProof/>
                <w:sz w:val="16"/>
                <w:szCs w:val="16"/>
              </w:rPr>
              <w:t>, 2014; UNFCCC, 2015; BigEE, 2016)</w:t>
            </w:r>
            <w:r w:rsidRPr="004675D3">
              <w:rPr>
                <w:rFonts w:ascii="Arial" w:hAnsi="Arial" w:cs="Arial"/>
                <w:sz w:val="16"/>
                <w:szCs w:val="16"/>
              </w:rPr>
              <w:fldChar w:fldCharType="end"/>
            </w:r>
            <w:r w:rsidRPr="004675D3">
              <w:rPr>
                <w:rFonts w:ascii="Arial" w:hAnsi="Arial" w:cs="Arial"/>
                <w:sz w:val="16"/>
                <w:szCs w:val="16"/>
              </w:rPr>
              <w:t xml:space="preserve"> </w:t>
            </w:r>
          </w:p>
        </w:tc>
      </w:tr>
      <w:tr w:rsidR="00A87596" w:rsidRPr="004675D3" w14:paraId="59365E98" w14:textId="77777777" w:rsidTr="00A87596">
        <w:tc>
          <w:tcPr>
            <w:cnfStyle w:val="001000000000" w:firstRow="0" w:lastRow="0" w:firstColumn="1" w:lastColumn="0" w:oddVBand="0" w:evenVBand="0" w:oddHBand="0" w:evenHBand="0" w:firstRowFirstColumn="0" w:firstRowLastColumn="0" w:lastRowFirstColumn="0" w:lastRowLastColumn="0"/>
            <w:tcW w:w="1254" w:type="pct"/>
            <w:vAlign w:val="center"/>
          </w:tcPr>
          <w:p w14:paraId="14A52AE2" w14:textId="77777777" w:rsidR="00A87596" w:rsidRPr="004675D3" w:rsidRDefault="00A87596" w:rsidP="00A87596">
            <w:pPr>
              <w:jc w:val="left"/>
              <w:rPr>
                <w:rFonts w:ascii="Arial" w:eastAsia="Times New Roman" w:hAnsi="Arial" w:cs="Arial"/>
                <w:noProof/>
                <w:snapToGrid w:val="0"/>
                <w:color w:val="000000"/>
                <w:sz w:val="16"/>
                <w:szCs w:val="16"/>
                <w:lang w:eastAsia="ja-JP"/>
              </w:rPr>
            </w:pPr>
            <w:r w:rsidRPr="004675D3">
              <w:rPr>
                <w:rFonts w:ascii="Arial" w:hAnsi="Arial" w:cs="Arial"/>
                <w:sz w:val="16"/>
                <w:szCs w:val="16"/>
              </w:rPr>
              <w:t>Building codes and standards as well as support for highly efficient construction</w:t>
            </w:r>
          </w:p>
        </w:tc>
        <w:tc>
          <w:tcPr>
            <w:tcW w:w="2733" w:type="pct"/>
            <w:vAlign w:val="center"/>
          </w:tcPr>
          <w:p w14:paraId="1F6ADB72"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Policy instruments aiming at reducing energy consumption in buildings such as building codes and standards (including individual building components), and incentives to support energy efficiency in both existing and planned buildings.</w:t>
            </w:r>
          </w:p>
        </w:tc>
        <w:tc>
          <w:tcPr>
            <w:tcW w:w="1013" w:type="pct"/>
            <w:vAlign w:val="center"/>
          </w:tcPr>
          <w:p w14:paraId="617178DB" w14:textId="078D8A0E"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{"citationItems":[{"id":"ITEM-1","itemData":{"author":[{"dropping-particle":"","family":"UNFCCC","given":"","non-dropping-particle":"","parse-names":false,"suffix":""}],"id":"ITEM-1","issued":{"date-parts":[["2018"]]},"publisher":"United Nations Framework Convention on Climate Change","publisher-place":"Bonn, Germany","title":"Talanoa dialogue for climate ambition. Synthesis of the preparatory phase 19/11/2018","type":"report"},"uris":["http://www.mendeley.com/documents/?uuid=11a21a65-a2bc-4057-96bd-68a0b8aeea75"]},{"id":"ITEM-2","itemData":{"DOI":"ISBN 978-92-9253-062-4","ISBN":"978-92-9253-062-4","ISSN":"1087-2914","PMID":"15520091","author":[{"dropping-particle":"","family":"UNEP","given":"","non-dropping-particle":"","parse-names":false,"suffix":""}],"id":"ITEM-2","issue":"1","issued":{"date-parts":[["2016"]]},"publisher":"United Nations Environment Programme (UNEP)","publisher-place":"Nairobi, Kenya","title":"The Emissions Gap Report 2016","type":"report"},"uris":["http://www.mendeley.com/documents/?uuid=6eb0e4df-d29f-4d70-9f57-558c7850b147"]},{"id":"ITEM-3","itemData":{"abstract":"The International Energy Agency (IEA), an autonomous agency, was established in November 1974. Its primary mandate was – and is – two-fold: to promote energy security amongst its member countries through collective response to physical disruptions in oil supply, and provide authoritative research and analysis on ways to ensure reliable, affordable and clean energy for its 29 member countries and beyond. The IEA carries out a comprehensive programme of energy co-operation among its member countries, each of which is obliged to hold oil stocks equivalent to 90 days of its net imports. The Agency's aims include the following objectives: • Secure member countries' access to reliable and ample supplies of all forms of energy; in particular, through maintaining effective emergency response capabilities in case of oil supply disruptions. • Promote sustainable energy policies that spur economic growth and environmental protection in a global context – particularly in terms of reducing greenhouse gas emissions that contribute to climate change. • Improve transparency of international markets through collection and analysis of energy data. • Support global collaboration on energy technology to secure future energy supplies and mitigate their environmental impact, including through improved energy efficiency and development and deployment of low-carbon technologies. • Find solutions to global energy challenges through engagement and dialogue with non-member countries, industry, international organisations and other stakeholders. About IRENA The International Renewable Energy Agency (IRENA) is an intergovernmental organisation that supports countries in their transition to a sustainable energy future, and serves as the principal platform for international co-operation, a centre of excellence, and a repository of policy, technology, resource and financial knowledge on renewable energy. IRENA promotes the widespread adoption and sustainable use of all forms of renewable energy, including bioenergy, geothermal, hydropower, ocean, solar and wind energy, in the pursuit of sustainable development, energy access, energy security and low-carbon economic growth and prosperity. www.irena.org This report presents the perspectives on a low-carbon energy sector of the International Energy Agency (IEA) and the International Renewable Energy Agency (IRENA). The Executive Summary and Chapters 1 and 4 reflect the findings of both the IEA and IRENA Secretariats (unless certain findi…","author":[{"dropping-particle":"","family":"OECD/IEA","given":"","non-dropping-particle":"","parse-names":false,"suffix":""},{"dropping-particle":"","family":"IRENA","given":"","non-dropping-particle":"","parse-names":false,"suffix":""}],"container-title":"International Energy Agency","id":"ITEM-3","issued":{"date-parts":[["2017"]]},"number-of-pages":"204","publisher":"International Energy Agency, International Renewable Energy Agency","title":"Perspectives for the Energy Transition: Investment Needs for a Low-Carbon Energy System","type":"report"},"uris":["http://www.mendeley.com/documents/?uuid=a5b5225b-ab76-4374-afec-15c00c22b02c"]},{"id":"ITEM-4","itemData":{"DOI":"10.1080/14693062.2017.1397495","ISSN":"1469-3062","author":[{"dropping-particle":"","family":"Kuramochi","given":"Takeshi","non-dropping-particle":"","parse-names":false,"suffix":""},{"dropping-particle":"","family":"Höhne","given":"Niklas","non-dropping-particle":"","parse-names":false,"suffix":""},{"dropping-particle":"","family":"Schaeffer","given":"Michiel","non-dropping-particle":"","parse-names":false,"suffix":""},{"dropping-particle":"","family":"Cantzler","given":"Jasmin","non-dropping-particle":"","parse-names":false,"suffix":""},{"dropping-particle":"","family":"Hare","given":"Bill","non-dropping-particle":"","parse-names":false,"suffix":""},{"dropping-particle":"","family":"Deng","given":"Yvonne","non-dropping-particle":"","parse-names":false,"suffix":""},{"dropping-particle":"","family":"Sterl","given":"Sebastian","non-dropping-particle":"","parse-names":false,"suffix":""},{"dropping-particle":"","family":"Hagemann","given":"Markus","non-dropping-particle":"","parse-names":false,"suffix":""},{"dropping-particle":"","family":"Rocha","given":"Marcia","non-dropping-particle":"","parse-names":false,"suffix":""},{"dropping-particle":"","family":"Yanguas-Parra","given":"Paola Andrea","non-dropping-particle":"","parse-names":false,"suffix":""},{"dropping-particle":"","family":"Mir","given":"Goher-Ur-Rehman","non-dropping-particle":"","parse-names":false,"suffix":""},{"dropping-particle":"","family":"Wong","given":"Lindee","non-dropping-particle":"","parse-names":false,"suffix":""},{"dropping-particle":"","family":"El-Laboudy","given":"Tarik","non-dropping-particle":"","parse-names":false,"suffix":""},{"dropping-particle":"","family":"Wouters","given":"Karlien","non-dropping-particle":"","parse-names":false,"suffix":""},{"dropping-particle":"","family":"Deryng","given":"Delphine","non-dropping-particle":"","parse-names":false,"suffix":""},{"dropping-particle":"","family":"Blok","given":"Kornelis","non-dropping-particle":"","parse-names":false,"suffix":""}],"container-title":"Climate Policy","id":"ITEM-4","issue":"3","issued":{"date-parts":[["2018","3","16"]]},"page":"287-305","title":"Ten key short-term sectoral benchmarks to limit warming to 1.5°C","type":"article-journal","volume":"18"},"uris":["http://www.mendeley.com/documents/?uuid=3032dc5f-5e33-4133-9cfd-4e1dfff78e31"]}],"mendeley":{"formattedCitation":"(UNEP, 2016; OECD/IEA and IRENA, 2017; Kuramochi &lt;i&gt;et al.&lt;/i&gt;, 2018; UNFCCC, 2018)","plainTextFormattedCitation":"(UNEP, 2016; OECD/IEA and IRENA, 2017; Kuramochi et al., 2018; UNFCCC, 2018)","previouslyFormattedCitation":"(UNEP, 2016; OECD/IEA and IRENA, 2017; Kuramochi &lt;i&gt;et al.&lt;/i&gt;, 2018; UNFCCC, 2018)"},"properties":{"noteIndex":0},"schema":"https://github.com/citation-style-language/schema/raw/master/csl-citation.json"}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(UNEP, 2016; OECD/IEA and IRENA, 2017; Kuramochi </w:t>
            </w:r>
            <w:r w:rsidR="009D4BA6" w:rsidRPr="004675D3">
              <w:rPr>
                <w:rFonts w:ascii="Arial" w:hAnsi="Arial" w:cs="Arial"/>
                <w:i/>
                <w:noProof/>
                <w:sz w:val="16"/>
                <w:szCs w:val="16"/>
              </w:rPr>
              <w:t>et al.</w:t>
            </w:r>
            <w:r w:rsidR="009D4BA6" w:rsidRPr="004675D3">
              <w:rPr>
                <w:rFonts w:ascii="Arial" w:hAnsi="Arial" w:cs="Arial"/>
                <w:noProof/>
                <w:sz w:val="16"/>
                <w:szCs w:val="16"/>
              </w:rPr>
              <w:t>, 2018; UNFCCC, 2018)</w:t>
            </w:r>
            <w:r w:rsidRPr="004675D3">
              <w:rPr>
                <w:rFonts w:ascii="Arial" w:hAnsi="Arial" w:cs="Arial"/>
                <w:sz w:val="16"/>
                <w:szCs w:val="16"/>
              </w:rPr>
              <w:fldChar w:fldCharType="end"/>
            </w:r>
            <w:r w:rsidRPr="004675D3">
              <w:rPr>
                <w:rFonts w:ascii="Arial" w:hAnsi="Arial" w:cs="Arial"/>
                <w:sz w:val="16"/>
                <w:szCs w:val="16"/>
              </w:rPr>
              <w:t>.</w:t>
            </w:r>
          </w:p>
        </w:tc>
      </w:tr>
      <w:tr w:rsidR="00A87596" w:rsidRPr="004675D3" w14:paraId="6090C1EA" w14:textId="77777777" w:rsidTr="00A87596">
        <w:tc>
          <w:tcPr>
            <w:cnfStyle w:val="001000000000" w:firstRow="0" w:lastRow="0" w:firstColumn="1" w:lastColumn="0" w:oddVBand="0" w:evenVBand="0" w:oddHBand="0" w:evenHBand="0" w:firstRowFirstColumn="0" w:firstRowLastColumn="0" w:lastRowFirstColumn="0" w:lastRowLastColumn="0"/>
            <w:tcW w:w="1254" w:type="pct"/>
            <w:vAlign w:val="center"/>
          </w:tcPr>
          <w:p w14:paraId="15D7E2C9" w14:textId="77777777" w:rsidR="00A87596" w:rsidRPr="004675D3" w:rsidRDefault="00A87596" w:rsidP="00A87596">
            <w:pPr>
              <w:jc w:val="left"/>
              <w:rPr>
                <w:rFonts w:ascii="Arial" w:eastAsia="Times New Roman" w:hAnsi="Arial" w:cs="Arial"/>
                <w:noProof/>
                <w:snapToGrid w:val="0"/>
                <w:color w:val="000000"/>
                <w:sz w:val="16"/>
                <w:szCs w:val="16"/>
                <w:lang w:eastAsia="ja-JP"/>
              </w:rPr>
            </w:pPr>
            <w:r w:rsidRPr="004675D3">
              <w:rPr>
                <w:rFonts w:ascii="Arial" w:hAnsi="Arial" w:cs="Arial"/>
                <w:sz w:val="16"/>
                <w:szCs w:val="16"/>
              </w:rPr>
              <w:t>Performance and equipment standards as well as support for highly efficient appliances</w:t>
            </w:r>
          </w:p>
        </w:tc>
        <w:tc>
          <w:tcPr>
            <w:tcW w:w="2733" w:type="pct"/>
            <w:vAlign w:val="center"/>
          </w:tcPr>
          <w:p w14:paraId="1623EC46"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Policies to reduce energy use in buildings by improving the energy use of appliances, including heating/cooling and cooking devices. As there are few policies addressing electrification of end use, policies aiming to increase the use of heat pumps and/or induction cookstoves were included as support for ‘efficient appliances.’</w:t>
            </w:r>
          </w:p>
        </w:tc>
        <w:tc>
          <w:tcPr>
            <w:tcW w:w="1013" w:type="pct"/>
            <w:vAlign w:val="center"/>
          </w:tcPr>
          <w:p w14:paraId="7B2BF631" w14:textId="40CD8D7D"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{"citationItems":[{"id":"ITEM-1","itemData":{"author":[{"dropping-particle":"","family":"Climate Action Tracker","given":"","non-dropping-particle":"","parse-names":false,"suffix":""}],"id":"ITEM-1","issued":{"date-parts":[["2018"]]},"title":"A Policy Spotlight on Energy Efficiency in Appliances &amp; Lights Could See Big Climate Gains","type":"report"},"uris":["http://www.mendeley.com/documents/?uuid=8557702a-3390-4a02-8ba5-ac2e7eebe98f"]},{"id":"ITEM-2","itemData":{"abstract":"Nearly one fifth of global greenhouse gas\\r\\nemissions come from the building sector.\\r\\nUnder current policies, energy consumption\\r\\nin buildings is set to rise by 1% per year1\\r\\n• This continuing growth in building sector\\r\\nemissions contrasts with the maturity of the\\r\\ntechnological solutions available to reduce\\r\\nemissions.\\r\\nDecarbonisation of the building sector plays\\r\\na key role in achieving the Paris Agreement\\r\\nlong-term temperature goal.\\r\\n• Getting this sector onto a pathway\\r\\nconsistent with limiting global warming to\\r\\n1.5°C requires urgent and highly ambitious\\r\\naction.\\r\\n• CAT analysis shows that a scenario where\\r\\nnew buildings are zero-energy2 by 2020 in\\r\\nOECD countries, and by 2025 in non-OECD\\r\\ncountries, combined with deep renovation\\r\\nrates of 5% and 3% per year respectively,\\r\\ncould bring the building sector onto a 1.5°C\\r\\ncompatible pathway. But such a scale-up of\\r\\nefforts cannot happen overnight.\\r\\n• Every new building that is not “Paris\\r\\nAgreement-proof” in its construction will\\r\\nlead to a further “lock-in” of emissions, and\\r\\nwill require future renovation.\\r\\n• Existing renovation efforts in developed\\r\\nregions such as the EU are currently too\\r\\nslow (~1% of stock renovated per year3\\r\\n),\\r\\nand too shallow.\\r\\n• Delayed action will put additional pressure\\r\\non emission reductions in other sectors (e.g.\\r\\nindustry, transport) and/or increase the\\r\\nneed for negative emissions approaches.","author":[{"dropping-particle":"","family":"Climate Action Tracker","given":"","non-dropping-particle":"","parse-names":false,"suffix":""}],"id":"ITEM-2","issued":{"date-parts":[["2016"]]},"number-of-pages":"8","title":"Constructing the future: Will the building sector use its decarbonisation tools? CAT Decarbonisation Series","type":"report"},"uris":["http://www.mendeley.com/documents/?uuid=800dfb76-a0a7-4862-b6bd-fb76bb62344a"]},{"id":"ITEM-3","itemData":{"DOI":"10.1038/s41893-020-0488-7","ISSN":"2398-9629","abstract":"The electrification of passenger road transport and household heating features prominently in current and planned policy frameworks to achieve greenhouse gas emissions reduction targets. However, since electricity generation involves using fossil fuels, it is not established where and when the replacement of fossil-fuel-based technologies by electric cars and heat pumps can effectively reduce overall emissions. Could electrification policies backfire by promoting their diffusion before electricity is decarbonized? Here we analyse current and future emissions trade-offs in 59 world regions with heterogeneous households, by combining forward-looking integrated assessment model simulations with bottom-up life-cycle assessments. We show that already under current carbon intensities of electricity generation, electric cars and heat pumps are less emission intensive than fossil-fuel-based alternatives in 53 world regions, representing 95% of the global transport and heating demand. Even if future end-use electrification is not matched by rapid power-sector decarbonization, it will probably reduce emissions in almost all world regions.","author":[{"dropping-particle":"","family":"Knobloch","given":"Florian","non-dropping-particle":"","parse-names":false,"suffix":""},{"dropping-particle":"V","family":"Hanssen","given":"Steef","non-dropping-particle":"","parse-names":false,"suffix":""},{"dropping-particle":"","family":"Lam","given":"Aileen","non-dropping-particle":"","parse-names":false,"suffix":""},{"dropping-particle":"","family":"Pollitt","given":"Hector","non-dropping-particle":"","parse-names":false,"suffix":""},{"dropping-particle":"","family":"Salas","given":"Pablo","non-dropping-particle":"","parse-names":false,"suffix":""},{"dropping-particle":"","family":"Chewpreecha","given":"Unnada","non-dropping-particle":"","parse-names":false,"suffix":""},{"dropping-particle":"","family":"Huijbregts","given":"Mark A J","non-dropping-particle":"","parse-names":false,"suffix":""},{"dropping-particle":"","family":"Mercure","given":"Jean-Francois","non-dropping-particle":"","parse-names":false,"suffix":""}],"container-title":"Nature Sustainability","id":"ITEM-3","issue":"6","issued":{"date-parts":[["2020"]]},"page":"437-447","title":"Net emission reductions from electric cars and heat pumps in 59 world regions over time","type":"article-journal","volume":"3"},"uris":["http://www.mendeley.com/documents/?uuid=fb40dc76-a119-4332-aa28-87edfbb69210"]},{"id":"ITEM-4","itemData":{"DOI":"10.1080/14693062.2018.1481356","author":[{"dropping-particle":"","family":"Roelfsema","given":"Mark","non-dropping-particle":"","parse-names":false,"suffix":""},{"dropping-particle":"","family":"Fekete","given":"Hanna","non-dropping-particle":"","parse-names":false,"suffix":""},{"dropping-particle":"","family":"Höhne","given":"Niklas","non-dropping-particle":"","parse-names":false,"suffix":""},{"dropping-particle":"","family":"Elzen","given":"Michel","non-dropping-particle":"den","parse-names":false,"suffix":""},{"dropping-particle":"","family":"Forsell","given":"Nicklas","non-dropping-particle":"","parse-names":false,"suffix":""},{"dropping-particle":"","family":"Kuramochi","given":"Takeshi","non-dropping-particle":"","parse-names":false,"suffix":""},{"dropping-particle":"","family":"Coninck","given":"Heleen","non-dropping-particle":"de","parse-names":false,"suffix":""},{"dropping-particle":"","family":"Vuuren","given":"Detlef P.","non-dropping-particle":"van","parse-names":false,"suffix":""}],"container-title":"Climate Policy","id":"ITEM-4","issue":"9","issued":{"date-parts":[["2018"]]},"page":"1103-1113","title":"Reducing global greenhouse gas emissions by replicating successful sector examples: the “good practice policies” scenario.","type":"article-journal","volume":"18"},"uris":["http://www.mendeley.com/documents/?uuid=bb5de496-326f-4e22-96c5-e1f95c5cdd94"]}],"mendeley":{"formattedCitation":"(Climate Action Tracker, 2016, 2018; Roelfsema &lt;i&gt;et al.&lt;/i&gt;, 2018; Knobloch &lt;i&gt;et al.&lt;/i&gt;, 2020)","plainTextFormattedCitation":"(Climate Action Tracker, 2016, 2018; Roelfsema et al., 2018; Knobloch et al., 2020)","previouslyFormattedCitation":"(Climate Action Tracker, 2016, 2018; Roelfsema &lt;i&gt;et al.&lt;/i&gt;, 2018; Knobloch &lt;i&gt;et al.&lt;/i&gt;, 2020)"},"properties":{"noteIndex":0},"schema":"https://github.com/citation-style-language/schema/raw/master/csl-citation.json"}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(Climate Action Tracker, 2016, 2018; Roelfsema </w:t>
            </w:r>
            <w:r w:rsidR="009D4BA6" w:rsidRPr="004675D3">
              <w:rPr>
                <w:rFonts w:ascii="Arial" w:hAnsi="Arial" w:cs="Arial"/>
                <w:i/>
                <w:noProof/>
                <w:sz w:val="16"/>
                <w:szCs w:val="16"/>
              </w:rPr>
              <w:t>et al.</w:t>
            </w:r>
            <w:r w:rsidR="009D4BA6" w:rsidRPr="004675D3">
              <w:rPr>
                <w:rFonts w:ascii="Arial" w:hAnsi="Arial" w:cs="Arial"/>
                <w:noProof/>
                <w:sz w:val="16"/>
                <w:szCs w:val="16"/>
              </w:rPr>
              <w:t xml:space="preserve">, 2018; Knobloch </w:t>
            </w:r>
            <w:r w:rsidR="009D4BA6" w:rsidRPr="004675D3">
              <w:rPr>
                <w:rFonts w:ascii="Arial" w:hAnsi="Arial" w:cs="Arial"/>
                <w:i/>
                <w:noProof/>
                <w:sz w:val="16"/>
                <w:szCs w:val="16"/>
              </w:rPr>
              <w:t>et al.</w:t>
            </w:r>
            <w:r w:rsidR="009D4BA6" w:rsidRPr="004675D3">
              <w:rPr>
                <w:rFonts w:ascii="Arial" w:hAnsi="Arial" w:cs="Arial"/>
                <w:noProof/>
                <w:sz w:val="16"/>
                <w:szCs w:val="16"/>
              </w:rPr>
              <w:t>, 2020)</w:t>
            </w:r>
            <w:r w:rsidRPr="004675D3">
              <w:rPr>
                <w:rFonts w:ascii="Arial" w:hAnsi="Arial" w:cs="Arial"/>
                <w:sz w:val="16"/>
                <w:szCs w:val="16"/>
              </w:rPr>
              <w:fldChar w:fldCharType="end"/>
            </w:r>
          </w:p>
        </w:tc>
      </w:tr>
      <w:tr w:rsidR="00A87596" w:rsidRPr="004675D3" w14:paraId="2CD1B097" w14:textId="77777777" w:rsidTr="00A87596">
        <w:tc>
          <w:tcPr>
            <w:cnfStyle w:val="001000000000" w:firstRow="0" w:lastRow="0" w:firstColumn="1" w:lastColumn="0" w:oddVBand="0" w:evenVBand="0" w:oddHBand="0" w:evenHBand="0" w:firstRowFirstColumn="0" w:firstRowLastColumn="0" w:lastRowFirstColumn="0" w:lastRowLastColumn="0"/>
            <w:tcW w:w="1254" w:type="pct"/>
            <w:vAlign w:val="center"/>
          </w:tcPr>
          <w:p w14:paraId="2C6C21A0"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color w:val="000000"/>
                <w:sz w:val="16"/>
                <w:szCs w:val="16"/>
                <w:lang w:eastAsia="ja-JP"/>
              </w:rPr>
              <w:t>Support scheme for heating and cooling</w:t>
            </w:r>
          </w:p>
        </w:tc>
        <w:tc>
          <w:tcPr>
            <w:tcW w:w="2733" w:type="pct"/>
            <w:vAlign w:val="center"/>
          </w:tcPr>
          <w:p w14:paraId="4B52B504"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Policies such as support schemes for the use of renewable energy in heating and cooling (</w:t>
            </w:r>
            <w:proofErr w:type="gramStart"/>
            <w:r w:rsidRPr="004675D3">
              <w:rPr>
                <w:rFonts w:ascii="Arial" w:hAnsi="Arial" w:cs="Arial"/>
                <w:sz w:val="16"/>
                <w:szCs w:val="16"/>
              </w:rPr>
              <w:t>e.g.</w:t>
            </w:r>
            <w:proofErr w:type="gramEnd"/>
            <w:r w:rsidRPr="004675D3">
              <w:rPr>
                <w:rFonts w:ascii="Arial" w:hAnsi="Arial" w:cs="Arial"/>
                <w:sz w:val="16"/>
                <w:szCs w:val="16"/>
              </w:rPr>
              <w:t xml:space="preserve"> biomass, geothermal, and solar thermal).</w:t>
            </w:r>
          </w:p>
        </w:tc>
        <w:tc>
          <w:tcPr>
            <w:tcW w:w="1013" w:type="pct"/>
            <w:vAlign w:val="center"/>
          </w:tcPr>
          <w:p w14:paraId="3EF735A4" w14:textId="33F19DC1"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author":[{"dropping-particle":"","family":"Mitchell","given":"C.","non-dropping-particle":"","parse-names":false,"suffix":""},{"dropping-particle":"","family":"Sawin","given":"J.","non-dropping-particle":"","parse-names":false,"suffix":""},{"dropping-particle":"","family":"Pokharel","given":"G. R.","non-dropping-particle":"","parse-names":false,"suffix":""},{"dropping-particle":"","family":"Kammen","given":"D.","non-dropping-particle":"","parse-names":false,"suffix":""},{"dropping-particle":"","family":"Wang","given":"Z.","non-dropping-particle":"","parse-names":false,"suffix":""},{"dropping-particle":"","family":"Fifita","given":"S.","non-dropping-particle":"","parse-names":false,"suffix":""},{"dropping-particle":"","family":"Jaccard","given":"M.","non-dropping-particle":"","parse-names":false,"suffix":""},{"dropping-particle":"","family":"Langniss","given":"O.","non-dropping-particle":"","parse-names":false,"suffix":""},{"dropping-particle":"","family":"Lucas","given":"H.","non-dropping-particle":"","parse-names":false,"suffix":""},{"dropping-particle":"","family":"Nadai","given":"A.","non-dropping-particle":"","parse-names":false,"suffix":""},{"dropping-particle":"","family":"Blanco","given":"R. Trujillo","non-dropping-particle":"","parse-names":false,"suffix":""},{"dropping-particle":"","family":"Usher","given":"E.","non-dropping-particle":"","parse-names":false,"suffix":""},{"dropping-particle":"","family":"Verbruggen","given":"A.","non-dropping-particle":"","parse-names":false,"suffix":""},{"dropping-particle":"","family":"Wüstenhagen","given":"R.","non-dropping-particle":"","parse-names":false,"suffix":""},{"dropping-particle":"","family":"Yamaguchi","given":"K.","non-dropping-particle":"","parse-names":false,"suffix":""}],"chapter-number":"11","container-title":"IPCC Special Report on Renewable Energy Sources and Climate Change Mitigation","editor":[{"dropping-particle":"","family":"Edenhofer","given":"O.","non-dropping-particle":"","parse-names":false,"suffix":""},{"dropping-particle":"","family":"Pichs-Madruga","given":"R.","non-dropping-particle":"","parse-names":false,"suffix":""},{"dropping-particle":"","family":"Sokona","given":"Y.","non-dropping-particle":"","parse-names":false,"suffix":""},{"dropping-particle":"","family":"Seyboth","given":"K.","non-dropping-particle":"","parse-names":false,"suffix":""},{"dropping-particle":"","family":"Matschoss","given":"P.","non-dropping-particle":"","parse-names":false,"suffix":""},{"dropping-particle":"","family":"S.Kadner","given":"","non-dropping-particle":"","parse-names":false,"suffix":""},{"dropping-particle":"","family":"Zwickel","given":"T.","non-dropping-particle":"","parse-names":false,"suffix":""},{"dropping-particle":"","family":"Eickemeier","given":"P.","non-dropping-particle":"","parse-names":false,"suffix":""},{"dropping-particle":"","family":"Hansen","given":"G.","non-dropping-particle":"","parse-names":false,"suffix":""},{"dropping-particle":"","family":"Schlömer","given":"S.","non-dropping-particle":"","parse-names":false,"suffix":""},{"dropping-particle":"","family":"Stechow","given":"C.","non-dropping-particle":"von","parse-names":false,"suffix":""}],"id":"ITEM-1","issued":{"date-parts":[["2011"]]},"publisher":"Cambridge University Press","publisher-place":"Cambridge, United Kingdom and New York, NY, USA","title":"Policy, Financing and Implementation","type":"report"},"uris":["http://www.mendeley.com/documents/?uuid=24745bbe-8e68-4262-869c-a7a4e28e3823"]}],"mendeley":{"formattedCitation":"(Mitchell &lt;i&gt;et al.&lt;/i&gt;, 2011)","plainTextFormattedCitation":"(Mitchell et al., 2011)","previouslyFormattedCitation":"(Mitchell &lt;i&gt;et al.&lt;/i&gt;, 2011)"},"properties":{"noteIndex":0},"schema":"https://github.com/citation-style-language/schema/raw/master/csl-citation.json"}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(Mitchell </w:t>
            </w:r>
            <w:r w:rsidR="009D4BA6" w:rsidRPr="004675D3">
              <w:rPr>
                <w:rFonts w:ascii="Arial" w:hAnsi="Arial" w:cs="Arial"/>
                <w:i/>
                <w:noProof/>
                <w:sz w:val="16"/>
                <w:szCs w:val="16"/>
              </w:rPr>
              <w:t>et al.</w:t>
            </w:r>
            <w:r w:rsidR="009D4BA6" w:rsidRPr="004675D3">
              <w:rPr>
                <w:rFonts w:ascii="Arial" w:hAnsi="Arial" w:cs="Arial"/>
                <w:noProof/>
                <w:sz w:val="16"/>
                <w:szCs w:val="16"/>
              </w:rPr>
              <w:t>, 2011)</w:t>
            </w:r>
            <w:r w:rsidRPr="004675D3">
              <w:rPr>
                <w:rFonts w:ascii="Arial" w:hAnsi="Arial" w:cs="Arial"/>
                <w:sz w:val="16"/>
                <w:szCs w:val="16"/>
              </w:rPr>
              <w:fldChar w:fldCharType="end"/>
            </w:r>
          </w:p>
        </w:tc>
      </w:tr>
      <w:tr w:rsidR="00A87596" w:rsidRPr="004675D3" w14:paraId="5FC926C1" w14:textId="77777777" w:rsidTr="00A87596">
        <w:tc>
          <w:tcPr>
            <w:cnfStyle w:val="001000000000" w:firstRow="0" w:lastRow="0" w:firstColumn="1" w:lastColumn="0" w:oddVBand="0" w:evenVBand="0" w:oddHBand="0" w:evenHBand="0" w:firstRowFirstColumn="0" w:firstRowLastColumn="0" w:lastRowFirstColumn="0" w:lastRowLastColumn="0"/>
            <w:tcW w:w="1254" w:type="pct"/>
            <w:vAlign w:val="center"/>
          </w:tcPr>
          <w:p w14:paraId="03706CCC"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color w:val="000000"/>
                <w:sz w:val="16"/>
                <w:szCs w:val="16"/>
                <w:lang w:eastAsia="ja-JP"/>
              </w:rPr>
              <w:t>Support scheme for hot water and cooking</w:t>
            </w:r>
          </w:p>
        </w:tc>
        <w:tc>
          <w:tcPr>
            <w:tcW w:w="2733" w:type="pct"/>
            <w:vAlign w:val="center"/>
          </w:tcPr>
          <w:p w14:paraId="0B0A7CB8"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Policies supporting the use of renewable technologies to heat water such as solar heaters and cooking, </w:t>
            </w:r>
            <w:proofErr w:type="gramStart"/>
            <w:r w:rsidRPr="004675D3">
              <w:rPr>
                <w:rFonts w:ascii="Arial" w:hAnsi="Arial" w:cs="Arial"/>
                <w:sz w:val="16"/>
                <w:szCs w:val="16"/>
              </w:rPr>
              <w:t>e.g.</w:t>
            </w:r>
            <w:proofErr w:type="gramEnd"/>
            <w:r w:rsidRPr="004675D3">
              <w:rPr>
                <w:rFonts w:ascii="Arial" w:hAnsi="Arial" w:cs="Arial"/>
                <w:sz w:val="16"/>
                <w:szCs w:val="16"/>
              </w:rPr>
              <w:t xml:space="preserve"> biogas.</w:t>
            </w:r>
          </w:p>
        </w:tc>
        <w:tc>
          <w:tcPr>
            <w:tcW w:w="1013" w:type="pct"/>
            <w:vAlign w:val="center"/>
          </w:tcPr>
          <w:p w14:paraId="2C5F5192" w14:textId="27B07F84"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{"citationItems":[{"id":"ITEM-1","itemData":{"author":[{"dropping-particle":"","family":"UNFCCC","given":"","non-dropping-particle":"","parse-names":false,"suffix":""}],"id":"ITEM-1","issued":{"date-parts":[["2014"]]},"publisher":"United Nations Framework Convention on Climate Change","publisher-place":"Bonn, Germany","title":"Non-market based approaches. Technical paper. FCCC/TP/2014/10","type":"report"},"uris":["http://www.mendeley.com/documents/?uuid=5014da37-4043-460c-925b-b5bed229da5f"]},{"id":"ITEM-2","itemData":{"author":[{"dropping-particle":"","family":"UNEP","given":"","non-dropping-particle":"","parse-names":false,"suffix":""}],"id":"ITEM-2","issued":{"date-parts":[["2015"]]},"note":"NULL","publisher":"United Nations Environment Programme (UNEP)","publisher-place":"Nairobi, Kenya","title":"The Emissions Gap Report 2015: A UNEP Synthesis Report","type":"report"},"uris":["http://www.mendeley.com/documents/?uuid=462360e5-5036-4535-9eec-16d3b08d9c7a"]}],"mendeley":{"formattedCitation":"(UNFCCC, 2014a; UNEP, 2015)","plainTextFormattedCitation":"(UNFCCC, 2014a; UNEP, 2015)","previouslyFormattedCitation":"(UNFCCC, 2014a; UNEP, 2015)"},"properties":{"noteIndex":0},"schema":"https://github.com/citation-style-language/schema/raw/master/csl-citation.json"}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(UNFCCC, 2014a; UNEP, 2015)</w:t>
            </w:r>
            <w:r w:rsidRPr="004675D3">
              <w:rPr>
                <w:rFonts w:ascii="Arial" w:hAnsi="Arial" w:cs="Arial"/>
                <w:sz w:val="16"/>
                <w:szCs w:val="16"/>
              </w:rPr>
              <w:fldChar w:fldCharType="end"/>
            </w:r>
          </w:p>
        </w:tc>
      </w:tr>
    </w:tbl>
    <w:p w14:paraId="42E0965A" w14:textId="77777777" w:rsidR="00A87596" w:rsidRPr="004675D3" w:rsidRDefault="00A87596" w:rsidP="00A87596">
      <w:pPr>
        <w:pStyle w:val="Caption"/>
        <w:keepNext/>
        <w:rPr>
          <w:rFonts w:ascii="Arial" w:hAnsi="Arial" w:cs="Arial"/>
        </w:rPr>
      </w:pPr>
    </w:p>
    <w:p w14:paraId="3CF4C52D" w14:textId="2A70DD69" w:rsidR="00A87596" w:rsidRPr="004675D3" w:rsidRDefault="00A87596" w:rsidP="00A87596">
      <w:pPr>
        <w:pStyle w:val="Caption"/>
        <w:keepNext/>
        <w:rPr>
          <w:rFonts w:ascii="Arial" w:hAnsi="Arial" w:cs="Arial"/>
        </w:rPr>
      </w:pPr>
      <w:bookmarkStart w:id="13" w:name="_Ref48230498"/>
      <w:bookmarkStart w:id="14" w:name="_Toc76122087"/>
      <w:r w:rsidRPr="004675D3">
        <w:rPr>
          <w:rFonts w:ascii="Arial" w:hAnsi="Arial" w:cs="Arial"/>
        </w:rPr>
        <w:t xml:space="preserve">Table </w:t>
      </w:r>
      <w:r w:rsidRPr="004675D3">
        <w:rPr>
          <w:rFonts w:ascii="Arial" w:hAnsi="Arial" w:cs="Arial"/>
        </w:rPr>
        <w:fldChar w:fldCharType="begin"/>
      </w:r>
      <w:r w:rsidRPr="004675D3">
        <w:rPr>
          <w:rFonts w:ascii="Arial" w:hAnsi="Arial" w:cs="Arial"/>
        </w:rPr>
        <w:instrText xml:space="preserve"> SEQ Table \* ARABIC </w:instrText>
      </w:r>
      <w:r w:rsidRPr="004675D3">
        <w:rPr>
          <w:rFonts w:ascii="Arial" w:hAnsi="Arial" w:cs="Arial"/>
        </w:rPr>
        <w:fldChar w:fldCharType="separate"/>
      </w:r>
      <w:r w:rsidR="007F3B3C">
        <w:rPr>
          <w:rFonts w:ascii="Arial" w:hAnsi="Arial" w:cs="Arial"/>
          <w:noProof/>
        </w:rPr>
        <w:t>5</w:t>
      </w:r>
      <w:r w:rsidRPr="004675D3">
        <w:rPr>
          <w:rFonts w:ascii="Arial" w:hAnsi="Arial" w:cs="Arial"/>
        </w:rPr>
        <w:fldChar w:fldCharType="end"/>
      </w:r>
      <w:bookmarkEnd w:id="13"/>
      <w:r w:rsidRPr="004675D3">
        <w:rPr>
          <w:rFonts w:ascii="Arial" w:hAnsi="Arial" w:cs="Arial"/>
        </w:rPr>
        <w:t xml:space="preserve"> Policy options classified under the sector ‘land transport’</w:t>
      </w:r>
      <w:bookmarkEnd w:id="14"/>
    </w:p>
    <w:tbl>
      <w:tblPr>
        <w:tblStyle w:val="GridTable1Light-Accent311"/>
        <w:tblW w:w="5000" w:type="pct"/>
        <w:tblLook w:val="04A0" w:firstRow="1" w:lastRow="0" w:firstColumn="1" w:lastColumn="0" w:noHBand="0" w:noVBand="1"/>
      </w:tblPr>
      <w:tblGrid>
        <w:gridCol w:w="2252"/>
        <w:gridCol w:w="4937"/>
        <w:gridCol w:w="1827"/>
      </w:tblGrid>
      <w:tr w:rsidR="00A87596" w:rsidRPr="004675D3" w14:paraId="448C7AE7" w14:textId="77777777" w:rsidTr="00A875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Pr>
          <w:p w14:paraId="153D17F5" w14:textId="77777777" w:rsidR="00A87596" w:rsidRPr="004675D3" w:rsidRDefault="00A87596" w:rsidP="00A87596">
            <w:pPr>
              <w:jc w:val="left"/>
              <w:rPr>
                <w:rFonts w:ascii="Arial" w:hAnsi="Arial" w:cs="Arial"/>
                <w:sz w:val="16"/>
                <w:szCs w:val="16"/>
              </w:rPr>
            </w:pPr>
            <w:r w:rsidRPr="004675D3">
              <w:rPr>
                <w:rFonts w:ascii="Arial" w:hAnsi="Arial" w:cs="Arial"/>
                <w:sz w:val="16"/>
                <w:szCs w:val="16"/>
              </w:rPr>
              <w:t>Policy option</w:t>
            </w:r>
          </w:p>
        </w:tc>
        <w:tc>
          <w:tcPr>
            <w:tcW w:w="2738" w:type="pct"/>
          </w:tcPr>
          <w:p w14:paraId="63CCC5DA" w14:textId="77777777" w:rsidR="00A87596" w:rsidRPr="004675D3" w:rsidRDefault="00A87596" w:rsidP="00A87596">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Description</w:t>
            </w:r>
          </w:p>
        </w:tc>
        <w:tc>
          <w:tcPr>
            <w:tcW w:w="1013" w:type="pct"/>
            <w:vAlign w:val="center"/>
          </w:tcPr>
          <w:p w14:paraId="41CF30B6" w14:textId="77777777" w:rsidR="00A87596" w:rsidRPr="004675D3" w:rsidRDefault="00A87596" w:rsidP="00A87596">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8"/>
              </w:rPr>
              <w:t xml:space="preserve">Further information </w:t>
            </w:r>
          </w:p>
        </w:tc>
      </w:tr>
      <w:tr w:rsidR="00A87596" w:rsidRPr="004675D3" w14:paraId="4F950207"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5C53C004"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color w:val="000000"/>
                <w:sz w:val="16"/>
                <w:szCs w:val="16"/>
                <w:lang w:eastAsia="ja-JP"/>
              </w:rPr>
              <w:t>Urban planning and infrastructure investment</w:t>
            </w:r>
          </w:p>
        </w:tc>
        <w:tc>
          <w:tcPr>
            <w:tcW w:w="2738" w:type="pct"/>
            <w:vAlign w:val="center"/>
          </w:tcPr>
          <w:p w14:paraId="13FA39F7"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Urban planning strategies that support the reduction of land transport emissions. Strategies that ensure investment in well-connected and frequent public transport </w:t>
            </w:r>
            <w:proofErr w:type="gramStart"/>
            <w:r w:rsidRPr="004675D3">
              <w:rPr>
                <w:rFonts w:ascii="Arial" w:hAnsi="Arial" w:cs="Arial"/>
                <w:sz w:val="16"/>
                <w:szCs w:val="16"/>
              </w:rPr>
              <w:t>options, or</w:t>
            </w:r>
            <w:proofErr w:type="gramEnd"/>
            <w:r w:rsidRPr="004675D3">
              <w:rPr>
                <w:rFonts w:ascii="Arial" w:hAnsi="Arial" w:cs="Arial"/>
                <w:sz w:val="16"/>
                <w:szCs w:val="16"/>
              </w:rPr>
              <w:t xml:space="preserve"> invest in infrastructure for better connectivity and traffic fluidisation.</w:t>
            </w:r>
          </w:p>
        </w:tc>
        <w:tc>
          <w:tcPr>
            <w:tcW w:w="1013" w:type="pct"/>
            <w:vAlign w:val="center"/>
          </w:tcPr>
          <w:p w14:paraId="018E6A69" w14:textId="6505C702"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{"citationItems":[{"id":"ITEM-1","itemData":{"author":[{"dropping-particle":"","family":"UNFCCC","given":"","non-dropping-particle":"","parse-names":false,"suffix":""}],"id":"ITEM-1","issued":{"date-parts":[["2015"]]},"publisher":"United Nations Framework Convention on Climate Change","publisher-place":"Bonn, Germany","title":"Mitigation benefits of actions , initiatives and options to enhance mitigation ambition. Technical paper 2015","type":"report"},"uris":["http://www.mendeley.com/documents/?uuid=3d9000a5-7715-452b-b155-91aed9c35bbc"]},{"id":"ITEM-2","itemData":{"author":[{"dropping-particle":"","family":"UNFCCC","given":"","non-dropping-particle":"","parse-names":false,"suffix":""}],"id":"ITEM-2","issued":{"date-parts":[["2017"]]},"publisher":"United Nations Framework Convention on Climate Change","publisher-place":"Bonn, Germany","title":"Urban environment related mitigation benefits and co-benefits of policies, practices and actions for enhancing mitigation ambition and options for supporting their implementation. Technical paper by the secretariat","type":"report"},"uris":["http://www.mendeley.com/documents/?uuid=42f1673c-1813-4f27-84de-16b59ed3e819"]},{"id":"ITEM-3","itemData":{"author":[{"dropping-particle":"","family":"Somanathan","given":"E.","non-dropping-particle":"","parse-names":false,"suffix":""},{"dropping-particle":"","family":"Sterner","given":"T.","non-dropping-particle":"","parse-names":false,"suffix":""},{"dropping-particle":"","family":"Sugiyama","given":"T.","non-dropping-particle":"","parse-names":false,"suffix":""},{"dropping-particle":"","family":"Chimanikire","given":"D.","non-dropping-particle":"","parse-names":false,"suffix":""},{"dropping-particle":"","family":"Dubash","given":"N. K.","non-dropping-particle":"","parse-names":false,"suffix":""},{"dropping-particle":"","family":"Essandoh-Yeddu","given":"J.","non-dropping-particle":"","parse-names":false,"suffix":""},{"dropping-particle":"","family":"S. Fifita","given":"L. Goulder","non-dropping-particle":"","parse-names":false,"suffix":""},{"dropping-particle":"","family":"Jaffe","given":"A.","non-dropping-particle":"","parse-names":false,"suffix":""},{"dropping-particle":"","family":"Labandeira","given":"X.","non-dropping-particle":"","parse-names":false,"suffix":""},{"dropping-particle":"","family":"Managi","given":"S.","non-dropping-particle":"","parse-names":false,"suffix":""},{"dropping-particle":"","family":"Mitchell","given":"C.","non-dropping-particle":"","parse-names":false,"suffix":""},{"dropping-particle":"","family":"Montero","given":"J. P.","non-dropping-particle":"","parse-names":false,"suffix":""},{"dropping-particle":"","family":"Teng","given":"F.","non-dropping-particle":"","parse-names":false,"suffix":""},{"dropping-particle":"","family":"Zylicz","given":"T.","non-dropping-particle":"","parse-names":false,"suffix":""}],"chapter-number":"15","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S.Kadner","given":"","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-3","issued":{"date-parts":[["2014"]]},"publisher":"Cambridge University Press","publisher-place":"Cambridge, United Kingdom and New York, NY, USA","title":"National and Sub-national Policies and Institutions","type":"report"},"uris":["http://www.mendeley.com/documents/?uuid=7e870f82-b225-4d10-acc6-0ed2d4bc80f5"]}],"mendeley":{"formattedCitation":"(Somanathan &lt;i&gt;et al.&lt;/i&gt;, 2014; UNFCCC, 2015, 2017)","plainTextFormattedCitation":"(Somanathan et al., 2014; UNFCCC, 2015, 2017)","previouslyFormattedCitation":"(Somanathan &lt;i&gt;et al.&lt;/i&gt;, 2014; UNFCCC, 2015, 2017)"},"properties":{"noteIndex":0},"schema":"https://github.com/citation-style-language/schema/raw/master/csl-citation.json"}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(Somanathan </w:t>
            </w:r>
            <w:r w:rsidR="009D4BA6" w:rsidRPr="004675D3">
              <w:rPr>
                <w:rFonts w:ascii="Arial" w:hAnsi="Arial" w:cs="Arial"/>
                <w:i/>
                <w:noProof/>
                <w:sz w:val="16"/>
                <w:szCs w:val="16"/>
              </w:rPr>
              <w:t>et al.</w:t>
            </w:r>
            <w:r w:rsidR="009D4BA6" w:rsidRPr="004675D3">
              <w:rPr>
                <w:rFonts w:ascii="Arial" w:hAnsi="Arial" w:cs="Arial"/>
                <w:noProof/>
                <w:sz w:val="16"/>
                <w:szCs w:val="16"/>
              </w:rPr>
              <w:t>, 2014; UNFCCC, 2015, 2017)</w:t>
            </w:r>
            <w:r w:rsidRPr="004675D3">
              <w:rPr>
                <w:rFonts w:ascii="Arial" w:hAnsi="Arial" w:cs="Arial"/>
                <w:sz w:val="16"/>
                <w:szCs w:val="16"/>
              </w:rPr>
              <w:fldChar w:fldCharType="end"/>
            </w:r>
            <w:r w:rsidRPr="004675D3">
              <w:rPr>
                <w:rFonts w:ascii="Arial" w:hAnsi="Arial" w:cs="Arial"/>
                <w:sz w:val="16"/>
                <w:szCs w:val="16"/>
              </w:rPr>
              <w:t xml:space="preserve"> </w:t>
            </w:r>
          </w:p>
        </w:tc>
      </w:tr>
      <w:tr w:rsidR="00A87596" w:rsidRPr="004675D3" w14:paraId="05321198"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227BB61D" w14:textId="77777777" w:rsidR="00A87596" w:rsidRPr="004675D3" w:rsidRDefault="00A87596" w:rsidP="00A87596">
            <w:pPr>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color w:val="000000"/>
                <w:sz w:val="16"/>
                <w:szCs w:val="16"/>
                <w:lang w:eastAsia="ja-JP"/>
              </w:rPr>
              <w:t>Energy/emissions performance standards or support for energy efficient for LDVs</w:t>
            </w:r>
          </w:p>
        </w:tc>
        <w:tc>
          <w:tcPr>
            <w:tcW w:w="2738" w:type="pct"/>
            <w:vAlign w:val="center"/>
          </w:tcPr>
          <w:p w14:paraId="7F06473B"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Vehicle fuel efficiency and emissions standards or fiscal/financial incentives for light vehicles.</w:t>
            </w:r>
          </w:p>
        </w:tc>
        <w:tc>
          <w:tcPr>
            <w:tcW w:w="1013" w:type="pct"/>
            <w:vMerge w:val="restart"/>
            <w:vAlign w:val="center"/>
          </w:tcPr>
          <w:p w14:paraId="2EE79453" w14:textId="081F48EF"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{"citationItems":[{"id":"ITEM-1","itemData":{"author":[{"dropping-particle":"","family":"IEA/IRENA","given":"","non-dropping-particle":"","parse-names":false,"suffix":""}],"id":"ITEM-1","issued":{"date-parts":[["2017"]]},"title":"Perspectives for the Energy Transition - Investment Needs for a Low-Carbon Energy System","type":"report"},"uris":["http://www.mendeley.com/documents/?uuid=81bf7c17-bfe6-4d0d-8bac-3cb41926e277"]},{"id":"ITEM-2","itemData":{"DOI":"10.1080/14693062.2018.1481356","author":[{"dropping-particle":"","family":"Roelfsema","given":"Mark","non-dropping-particle":"","parse-names":false,"suffix":""},{"dropping-particle":"","family":"Fekete","given":"Hanna","non-dropping-particle":"","parse-names":false,"suffix":""},{"dropping-particle":"","family":"Höhne","given":"Niklas","non-dropping-particle":"","parse-names":false,"suffix":""},{"dropping-particle":"","family":"Elzen","given":"Michel","non-dropping-particle":"den","parse-names":false,"suffix":""},{"dropping-particle":"","family":"Forsell","given":"Nicklas","non-dropping-particle":"","parse-names":false,"suffix":""},{"dropping-particle":"","family":"Kuramochi","given":"Takeshi","non-dropping-particle":"","parse-names":false,"suffix":""},{"dropping-particle":"","family":"Coninck","given":"Heleen","non-dropping-particle":"de","parse-names":false,"suffix":""},{"dropping-particle":"","family":"Vuuren","given":"Detlef P.","non-dropping-particle":"van","parse-names":false,"suffix":""}],"container-title":"Climate Policy","id":"ITEM-2","issue":"9","issued":{"date-parts":[["2018"]]},"page":"1103-1113","title":"Reducing global greenhouse gas emissions by replicating successful sector examples: the “good practice policies” scenario.","type":"article-journal","volume":"18"},"uris":["http://www.mendeley.com/documents/?uuid=bb5de496-326f-4e22-96c5-e1f95c5cdd94"]},{"id":"ITEM-3","itemData":{"DOI":"10.1049/ep.1977.0180","ISBN":"0872625710","ISSN":"03671119","author":[{"dropping-particle":"","family":"IEA","given":"","non-dropping-particle":"","parse-names":false,"suffix":""}],"id":"ITEM-3","issued":{"date-parts":[["2019"]]},"number-of-pages":"1-810","publisher":"International Energy Agency (IEA)","publisher-place":"Paris, France","title":"World Energy Outlook","type":"book"},"uris":["http://www.mendeley.com/documents/?uuid=bf82544b-89fe-4503-a730-22cb948bfbeb"]},{"id":"ITEM-4","itemData":{"DOI":"10.18356/ff6d1a84-en","ISBN":"9789280737660","author":[{"dropping-particle":"","family":"UNEP","given":"","non-dropping-particle":"","parse-names":false,"suffix":""}],"id":"ITEM-4","issued":{"date-parts":[["2019"]]},"publisher":"United Nations Environment Programme","publisher-place":"Nairobi, Kenya","title":"Emissions Gap Report 2019","type":"report"},"uris":["http://www.mendeley.com/documents/?uuid=0ca6f941-4554-4888-9ab9-13fc13544d43"]},{"id":"ITEM-5","itemData":{"DOI":"10.1038/s41558-020-0877-y","ISSN":"1758-6798","abstract":"Transport CO2 emissions continue to grow globally despite advances in low-carbon technology and goal setting by numerous governments. In this Perspective, we summarize available evidence for the effectiveness of climate policies and policy mixes for road transport relative to 2030 and 2050 mitigation goals implied by the Paris Agreement. Current policy mixes in most countries are not nearly stringent enough. We argue that most regions need a stronger, more integrated policy mix led by stringent regulations and complemented by pricing mechanisms as well as other efforts to reduce vehicle travel.","author":[{"dropping-particle":"","family":"Axsen","given":"Jonn","non-dropping-particle":"","parse-names":false,"suffix":""},{"dropping-particle":"","family":"Plötz","given":"Patrick","non-dropping-particle":"","parse-names":false,"suffix":""},{"dropping-particle":"","family":"Wolinetz","given":"Michael","non-dropping-particle":"","parse-names":false,"suffix":""}],"container-title":"Nature Climate Change","id":"ITEM-5","issue":"9","issued":{"date-parts":[["2020"]]},"page":"809-818","title":"Crafting strong, integrated policy mixes for deep CO2 mitigation in road transport","type":"article-journal","volume":"10"},"uris":["http://www.mendeley.com/documents/?uuid=ef20ab05-20e3-41d1-9a2c-929f86794f27"]}],"mendeley":{"formattedCitation":"(IEA/IRENA, 2017; Roelfsema &lt;i&gt;et al.&lt;/i&gt;, 2018; IEA, 2019; UNEP, 2019; Axsen, Plötz and Wolinetz, 2020)","plainTextFormattedCitation":"(IEA/IRENA, 2017; Roelfsema et al., 2018; IEA, 2019; UNEP, 2019; Axsen, Plötz and Wolinetz, 2020)","previouslyFormattedCitation":"(IEA/IRENA, 2017; Roelfsema &lt;i&gt;et al.&lt;/i&gt;, 2018; IEA, 2019; UNEP, 2019; Axsen, Plötz and Wolinetz, 2020)"},"properties":{"noteIndex":0},"schema":"https://github.com/citation-style-language/schema/raw/master/csl-citation.json"}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(IEA/IRENA, 2017; Roelfsema </w:t>
            </w:r>
            <w:r w:rsidR="009D4BA6" w:rsidRPr="004675D3">
              <w:rPr>
                <w:rFonts w:ascii="Arial" w:hAnsi="Arial" w:cs="Arial"/>
                <w:i/>
                <w:noProof/>
                <w:sz w:val="16"/>
                <w:szCs w:val="16"/>
              </w:rPr>
              <w:t>et al.</w:t>
            </w:r>
            <w:r w:rsidR="009D4BA6" w:rsidRPr="004675D3">
              <w:rPr>
                <w:rFonts w:ascii="Arial" w:hAnsi="Arial" w:cs="Arial"/>
                <w:noProof/>
                <w:sz w:val="16"/>
                <w:szCs w:val="16"/>
              </w:rPr>
              <w:t xml:space="preserve">, 2018; IEA, 2019; UNEP, 2019; Axsen, </w:t>
            </w:r>
            <w:r w:rsidR="009D4BA6" w:rsidRPr="004675D3">
              <w:rPr>
                <w:rFonts w:ascii="Arial" w:hAnsi="Arial" w:cs="Arial"/>
                <w:noProof/>
                <w:sz w:val="16"/>
                <w:szCs w:val="16"/>
              </w:rPr>
              <w:lastRenderedPageBreak/>
              <w:t>Plötz and Wolinetz, 2020)</w:t>
            </w:r>
            <w:r w:rsidRPr="004675D3">
              <w:rPr>
                <w:rFonts w:ascii="Arial" w:hAnsi="Arial" w:cs="Arial"/>
                <w:sz w:val="16"/>
                <w:szCs w:val="16"/>
              </w:rPr>
              <w:fldChar w:fldCharType="end"/>
            </w:r>
          </w:p>
        </w:tc>
      </w:tr>
      <w:tr w:rsidR="00A87596" w:rsidRPr="004675D3" w14:paraId="4EBE2EB9"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6CD994BC"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color w:val="000000"/>
                <w:sz w:val="16"/>
                <w:szCs w:val="16"/>
                <w:lang w:eastAsia="ja-JP"/>
              </w:rPr>
              <w:lastRenderedPageBreak/>
              <w:t>Energy/emissions performance standards or support for energy efficient for HDVs</w:t>
            </w:r>
          </w:p>
        </w:tc>
        <w:tc>
          <w:tcPr>
            <w:tcW w:w="2738" w:type="pct"/>
            <w:vAlign w:val="center"/>
          </w:tcPr>
          <w:p w14:paraId="722BEA0D"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Vehicle fuel efficiency and emissions standards or fiscal/financial incentives for heavy-duty vehicles.</w:t>
            </w:r>
          </w:p>
        </w:tc>
        <w:tc>
          <w:tcPr>
            <w:tcW w:w="1013" w:type="pct"/>
            <w:vMerge/>
            <w:vAlign w:val="center"/>
          </w:tcPr>
          <w:p w14:paraId="19BEFB5F"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A87596" w:rsidRPr="004675D3" w14:paraId="6E16F19B"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7113466C"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color w:val="000000"/>
                <w:sz w:val="16"/>
                <w:szCs w:val="16"/>
                <w:lang w:eastAsia="ja-JP"/>
              </w:rPr>
              <w:t>Support for biofuels</w:t>
            </w:r>
          </w:p>
        </w:tc>
        <w:tc>
          <w:tcPr>
            <w:tcW w:w="2738" w:type="pct"/>
            <w:vAlign w:val="center"/>
          </w:tcPr>
          <w:p w14:paraId="0B818790"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Targets and specific support policies (</w:t>
            </w:r>
            <w:proofErr w:type="gramStart"/>
            <w:r w:rsidRPr="004675D3">
              <w:rPr>
                <w:rFonts w:ascii="Arial" w:hAnsi="Arial" w:cs="Arial"/>
                <w:sz w:val="16"/>
                <w:szCs w:val="16"/>
              </w:rPr>
              <w:t>e.g.</w:t>
            </w:r>
            <w:proofErr w:type="gramEnd"/>
            <w:r w:rsidRPr="004675D3">
              <w:rPr>
                <w:rFonts w:ascii="Arial" w:hAnsi="Arial" w:cs="Arial"/>
                <w:sz w:val="16"/>
                <w:szCs w:val="16"/>
              </w:rPr>
              <w:t xml:space="preserve"> tax relief, mandatory blending) to support the uptake of biofuels. </w:t>
            </w:r>
          </w:p>
        </w:tc>
        <w:tc>
          <w:tcPr>
            <w:tcW w:w="1013" w:type="pct"/>
            <w:vAlign w:val="center"/>
          </w:tcPr>
          <w:p w14:paraId="033A4934" w14:textId="7631C7F5"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{"citationItems":[{"id":"ITEM-1","itemData":{"DOI":"10.1038/s41558-017-0006-8","ISSN":"1758-6798","abstract":"Most climate change mitigation scenarios that are consistent with the 1.5–2 °C target rely on a large-scale contribution from biomass, including advanced (second-generation) biofuels. However, land-based biofuel production has been associated with substantial land-use change emissions. Previous studies show a wide range of emission factors, often hiding the influence of spatial heterogeneity. Here we introduce a spatially explicit method for assessing the supply of advanced biofuels at different emission factors and present the results as emission curves. Dedicated crops grown on grasslands, savannahs and abandoned agricultural lands could provide 30 EJBiofuel yr−1 with emission factors less than 40 kg of CO2-equivalent (CO2e) emissions per GJBiofuel (for an 85-year time horizon). This increases to 100 EJBiofuel yr−1 for emission factors less than 60 kgCO2e GJBiofuel−1. While these results are uncertain and depend on model assumptions (including time horizon, spatial resolution, technology assumptions and so on), emission curves improve our understanding of the relationship between biofuel supply and its potential contribution to climate change mitigation while accounting for spatial heterogeneity.","author":[{"dropping-particle":"","family":"Daioglou","given":"Vassilis","non-dropping-particle":"","parse-names":false,"suffix":""},{"dropping-particle":"","family":"Doelman","given":"Jonathan C","non-dropping-particle":"","parse-names":false,"suffix":""},{"dropping-particle":"","family":"Stehfest","given":"Elke","non-dropping-particle":"","parse-names":false,"suffix":""},{"dropping-particle":"","family":"Müller","given":"Christoph","non-dropping-particle":"","parse-names":false,"suffix":""},{"dropping-particle":"","family":"Wicke","given":"Birka","non-dropping-particle":"","parse-names":false,"suffix":""},{"dropping-particle":"","family":"Faaij","given":"Andre","non-dropping-particle":"","parse-names":false,"suffix":""},{"dropping-particle":"","family":"Vuuren","given":"Detlef P","non-dropping-particle":"van","parse-names":false,"suffix":""}],"container-title":"Nature Climate Change","id":"ITEM-1","issue":"12","issued":{"date-parts":[["2017"]]},"page":"920-924","title":"Greenhouse gas emission curves for advanced biofuel supply chains","type":"article-journal","volume":"7"},"uris":["http://www.mendeley.com/documents/?uuid=0e99a83d-450b-4457-b7c2-9ce8b230be91"]}],"mendeley":{"formattedCitation":"(Daioglou &lt;i&gt;et al.&lt;/i&gt;, 2017)","plainTextFormattedCitation":"(Daioglou et al., 2017)","previouslyFormattedCitation":"(Daioglou &lt;i&gt;et al.&lt;/i&gt;, 2017)"},"properties":{"noteIndex":0},"schema":"https://github.com/citation-style-language/schema/raw/master/csl-citation.json"}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(Daioglou </w:t>
            </w:r>
            <w:r w:rsidR="009D4BA6" w:rsidRPr="004675D3">
              <w:rPr>
                <w:rFonts w:ascii="Arial" w:hAnsi="Arial" w:cs="Arial"/>
                <w:i/>
                <w:noProof/>
                <w:sz w:val="16"/>
                <w:szCs w:val="16"/>
              </w:rPr>
              <w:t>et al.</w:t>
            </w:r>
            <w:r w:rsidR="009D4BA6" w:rsidRPr="004675D3">
              <w:rPr>
                <w:rFonts w:ascii="Arial" w:hAnsi="Arial" w:cs="Arial"/>
                <w:noProof/>
                <w:sz w:val="16"/>
                <w:szCs w:val="16"/>
              </w:rPr>
              <w:t>, 2017)</w:t>
            </w:r>
            <w:r w:rsidRPr="004675D3">
              <w:rPr>
                <w:rFonts w:ascii="Arial" w:hAnsi="Arial" w:cs="Arial"/>
                <w:sz w:val="16"/>
                <w:szCs w:val="16"/>
              </w:rPr>
              <w:fldChar w:fldCharType="end"/>
            </w:r>
          </w:p>
        </w:tc>
      </w:tr>
      <w:tr w:rsidR="00A87596" w:rsidRPr="004675D3" w14:paraId="49C285EB"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013FBD7A"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color w:val="000000"/>
                <w:sz w:val="16"/>
                <w:szCs w:val="16"/>
                <w:lang w:eastAsia="ja-JP"/>
              </w:rPr>
              <w:t>Support for modal share switch</w:t>
            </w:r>
          </w:p>
        </w:tc>
        <w:tc>
          <w:tcPr>
            <w:tcW w:w="2738" w:type="pct"/>
            <w:vAlign w:val="center"/>
          </w:tcPr>
          <w:p w14:paraId="0554A699"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Policies that encourage modal shift programmes, such as investments in public transport or subsidies for two- and three-wheelers. </w:t>
            </w:r>
          </w:p>
        </w:tc>
        <w:tc>
          <w:tcPr>
            <w:tcW w:w="1013" w:type="pct"/>
            <w:vAlign w:val="center"/>
          </w:tcPr>
          <w:p w14:paraId="1B87F4AE" w14:textId="4070F6C1"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DOI":"10.18356/ff6d1a84-en","ISBN":"9789280737660","author":[{"dropping-particle":"","family":"UNEP","given":"","non-dropping-particle":"","parse-names":false,"suffix":""}],"id":"ITEM-1","issued":{"date-parts":[["2019"]]},"publisher":"United Nations Environment Programme","publisher-place":"Nairobi, Kenya","title":"Emissions Gap Report 2019","type":"report"},"uris":["http://www.mendeley.com/documents/?uuid=0ca6f941-4554-4888-9ab9-13fc13544d43"]},{"id":"ITEM-2","itemData":{"DOI":"10.1080/01441640500360951","abstract":"ABSTRACT Emissions from the transport sector represent the fastest growing source of greenhouse gas emissions. There is little prospect that this situation will be resolved with a single technological fix. As developing nations quickly move to catch up with the motor-ization levels of developed nations, the sheer number of private vehicles may overwhelm any advances made by cleaner fuels. By 2030, there is projected to be more vehicles in the developing world than in developed nations. Despite the growth in developing-nation transport emissions, the sector has produced relatively few mitigation projects within the mechanisms of the Kyoto Protocol. However, a few developing cities, such as Bogota, Colombia, have demonstrated innovation in low-cost solutions to reducing emissions. This research employs scenario analysis to examine the size and cost of potential emission reduction options from the urban transport sector of developing nations. In particular, the analysis compares the cost of greenhouse gas emission reductions from fuel technology options to reductions from measures promoting mode shifting. This comparative analysis indicates that a diversified package of measures with an emphasis on mode shifting is likely to be the most cost-effective means to greenhouse gas emission reductions.","author":[{"dropping-particle":"","family":"Wright","given":"Lloyd","non-dropping-particle":"","parse-names":false,"suffix":""},{"dropping-particle":"","family":"Fulton","given":"Lewis","non-dropping-particle":"","parse-names":false,"suffix":""}],"container-title":"Transport Reviews","id":"ITEM-2","issue":"6","issued":{"date-parts":[["2005"]]},"page":"691-717","title":"Climate Change Mitigation and Transport in Developing Nations","type":"article-journal","volume":"25"},"uris":["http://www.mendeley.com/documents/?uuid=92d0882a-2dd4-464e-aa80-050790ff404f"]},{"id":"ITEM-3","itemData":{"DOI":"10.1038/s41558-020-0877-y","ISSN":"1758-6798","abstract":"Transport CO2 emissions continue to grow globally despite advances in low-carbon technology and goal setting by numerous governments. In this Perspective, we summarize available evidence for the effectiveness of climate policies and policy mixes for road transport relative to 2030 and 2050 mitigation goals implied by the Paris Agreement. Current policy mixes in most countries are not nearly stringent enough. We argue that most regions need a stronger, more integrated policy mix led by stringent regulations and complemented by pricing mechanisms as well as other efforts to reduce vehicle travel.","author":[{"dropping-particle":"","family":"Axsen","given":"Jonn","non-dropping-particle":"","parse-names":false,"suffix":""},{"dropping-particle":"","family":"Plötz","given":"Patrick","non-dropping-particle":"","parse-names":false,"suffix":""},{"dropping-particle":"","family":"Wolinetz","given":"Michael","non-dropping-particle":"","parse-names":false,"suffix":""}],"container-title":"Nature Climate Change","id":"ITEM-3","issue":"9","issued":{"date-parts":[["2020"]]},"page":"809-818","title":"Crafting strong, integrated policy mixes for deep CO2 mitigation in road transport","type":"article-journal","volume":"10"},"uris":["http://www.mendeley.com/documents/?uuid=ef20ab05-20e3-41d1-9a2c-929f86794f27"]}],"mendeley":{"formattedCitation":"(Wright and Fulton, 2005; UNEP, 2019; Axsen, Plötz and Wolinetz, 2020)","plainTextFormattedCitation":"(Wright and Fulton, 2005; UNEP, 2019; Axsen, Plötz and Wolinetz, 2020)","previouslyFormattedCitation":"(Wright and Fulton, 2005; UNEP, 2019; Axsen, Plötz and Wolinetz, 2020)"},"properties":{"noteIndex":0},"schema":"https://github.com/citation-style-language/schema/raw/master/csl-citation.json"}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(Wright and Fulton, 2005; UNEP, 2019; Axsen, Plötz and Wolinetz, 2020)</w:t>
            </w:r>
            <w:r w:rsidRPr="004675D3">
              <w:rPr>
                <w:rFonts w:ascii="Arial" w:hAnsi="Arial" w:cs="Arial"/>
                <w:sz w:val="16"/>
                <w:szCs w:val="16"/>
              </w:rPr>
              <w:fldChar w:fldCharType="end"/>
            </w:r>
          </w:p>
        </w:tc>
      </w:tr>
      <w:tr w:rsidR="00A87596" w:rsidRPr="004675D3" w14:paraId="08307593"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46986698"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color w:val="000000"/>
                <w:sz w:val="16"/>
                <w:szCs w:val="16"/>
                <w:lang w:eastAsia="ja-JP"/>
              </w:rPr>
              <w:t>Support for low-emissions land transportation</w:t>
            </w:r>
          </w:p>
        </w:tc>
        <w:tc>
          <w:tcPr>
            <w:tcW w:w="2738" w:type="pct"/>
            <w:vAlign w:val="center"/>
          </w:tcPr>
          <w:p w14:paraId="5FA4ABAF"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Policies that support low-emissions land transport via, for example, the use of electric vehicles for light-duty transportation or hydrogen.</w:t>
            </w:r>
          </w:p>
        </w:tc>
        <w:tc>
          <w:tcPr>
            <w:tcW w:w="1013" w:type="pct"/>
            <w:vAlign w:val="center"/>
          </w:tcPr>
          <w:p w14:paraId="4B5B49F1" w14:textId="5564AF2F"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{"citationItems":[{"id":"ITEM-1","itemData":{"author":[{"dropping-particle":"","family":"UNFCCC","given":"","non-dropping-particle":"","parse-names":false,"suffix":""}],"id":"ITEM-1","issued":{"date-parts":[["2018"]]},"publisher":"United Nations Framework Convention on Climate Change","publisher-place":"Bonn, Germany","title":"Talanoa dialogue for climate ambition. Synthesis of the preparatory phase 19/11/2018","type":"report"},"uris":["http://www.mendeley.com/documents/?uuid=11a21a65-a2bc-4057-96bd-68a0b8aeea75"]},{"id":"ITEM-2","itemData":{"author":[{"dropping-particle":"","family":"IEA/IRENA","given":"","non-dropping-particle":"","parse-names":false,"suffix":""}],"id":"ITEM-2","issued":{"date-parts":[["2017"]]},"title":"Perspectives for the Energy Transition - Investment Needs for a Low-Carbon Energy System","type":"report"},"uris":["http://www.mendeley.com/documents/?uuid=81bf7c17-bfe6-4d0d-8bac-3cb41926e277"]},{"id":"ITEM-3","itemData":{"DOI":"10.1038/s41893-020-0488-7","ISSN":"2398-9629","abstract":"The electrification of passenger road transport and household heating features prominently in current and planned policy frameworks to achieve greenhouse gas emissions reduction targets. However, since electricity generation involves using fossil fuels, it is not established where and when the replacement of fossil-fuel-based technologies by electric cars and heat pumps can effectively reduce overall emissions. Could electrification policies backfire by promoting their diffusion before electricity is decarbonized? Here we analyse current and future emissions trade-offs in 59 world regions with heterogeneous households, by combining forward-looking integrated assessment model simulations with bottom-up life-cycle assessments. We show that already under current carbon intensities of electricity generation, electric cars and heat pumps are less emission intensive than fossil-fuel-based alternatives in 53 world regions, representing 95% of the global transport and heating demand. Even if future end-use electrification is not matched by rapid power-sector decarbonization, it will probably reduce emissions in almost all world regions.","author":[{"dropping-particle":"","family":"Knobloch","given":"Florian","non-dropping-particle":"","parse-names":false,"suffix":""},{"dropping-particle":"V","family":"Hanssen","given":"Steef","non-dropping-particle":"","parse-names":false,"suffix":""},{"dropping-particle":"","family":"Lam","given":"Aileen","non-dropping-particle":"","parse-names":false,"suffix":""},{"dropping-particle":"","family":"Pollitt","given":"Hector","non-dropping-particle":"","parse-names":false,"suffix":""},{"dropping-particle":"","family":"Salas","given":"Pablo","non-dropping-particle":"","parse-names":false,"suffix":""},{"dropping-particle":"","family":"Chewpreecha","given":"Unnada","non-dropping-particle":"","parse-names":false,"suffix":""},{"dropping-particle":"","family":"Huijbregts","given":"Mark A J","non-dropping-particle":"","parse-names":false,"suffix":""},{"dropping-particle":"","family":"Mercure","given":"Jean-Francois","non-dropping-particle":"","parse-names":false,"suffix":""}],"container-title":"Nature Sustainability","id":"ITEM-3","issue":"6","issued":{"date-parts":[["2020"]]},"page":"437-447","title":"Net emission reductions from electric cars and heat pumps in 59 world regions over time","type":"article-journal","volume":"3"},"uris":["http://www.mendeley.com/documents/?uuid=fb40dc76-a119-4332-aa28-87edfbb69210"]},{"id":"ITEM-4","itemData":{"DOI":"10.1080/14693062.2017.1397495","ISSN":"1469-3062","author":[{"dropping-particle":"","family":"Kuramochi","given":"Takeshi","non-dropping-particle":"","parse-names":false,"suffix":""},{"dropping-particle":"","family":"Höhne","given":"Niklas","non-dropping-particle":"","parse-names":false,"suffix":""},{"dropping-particle":"","family":"Schaeffer","given":"Michiel","non-dropping-particle":"","parse-names":false,"suffix":""},{"dropping-particle":"","family":"Cantzler","given":"Jasmin","non-dropping-particle":"","parse-names":false,"suffix":""},{"dropping-particle":"","family":"Hare","given":"Bill","non-dropping-particle":"","parse-names":false,"suffix":""},{"dropping-particle":"","family":"Deng","given":"Yvonne","non-dropping-particle":"","parse-names":false,"suffix":""},{"dropping-particle":"","family":"Sterl","given":"Sebastian","non-dropping-particle":"","parse-names":false,"suffix":""},{"dropping-particle":"","family":"Hagemann","given":"Markus","non-dropping-particle":"","parse-names":false,"suffix":""},{"dropping-particle":"","family":"Rocha","given":"Marcia","non-dropping-particle":"","parse-names":false,"suffix":""},{"dropping-particle":"","family":"Yanguas-Parra","given":"Paola Andrea","non-dropping-particle":"","parse-names":false,"suffix":""},{"dropping-particle":"","family":"Mir","given":"Goher-Ur-Rehman","non-dropping-particle":"","parse-names":false,"suffix":""},{"dropping-particle":"","family":"Wong","given":"Lindee","non-dropping-particle":"","parse-names":false,"suffix":""},{"dropping-particle":"","family":"El-Laboudy","given":"Tarik","non-dropping-particle":"","parse-names":false,"suffix":""},{"dropping-particle":"","family":"Wouters","given":"Karlien","non-dropping-particle":"","parse-names":false,"suffix":""},{"dropping-particle":"","family":"Deryng","given":"Delphine","non-dropping-particle":"","parse-names":false,"suffix":""},{"dropping-particle":"","family":"Blok","given":"Kornelis","non-dropping-particle":"","parse-names":false,"suffix":""}],"container-title":"Climate Policy","id":"ITEM-4","issue":"3","issued":{"date-parts":[["2018","3","16"]]},"page":"287-305","title":"Ten key short-term sectoral benchmarks to limit warming to 1.5°C","type":"article-journal","volume":"18"},"uris":["http://www.mendeley.com/documents/?uuid=3032dc5f-5e33-4133-9cfd-4e1dfff78e31"]},{"id":"ITEM-5","itemData":{"DOI":"10.1080/14693062.2018.1481356","author":[{"dropping-particle":"","family":"Roelfsema","given":"Mark","non-dropping-particle":"","parse-names":false,"suffix":""},{"dropping-particle":"","family":"Fekete","given":"Hanna","non-dropping-particle":"","parse-names":false,"suffix":""},{"dropping-particle":"","family":"Höhne","given":"Niklas","non-dropping-particle":"","parse-names":false,"suffix":""},{"dropping-particle":"","family":"Elzen","given":"Michel","non-dropping-particle":"den","parse-names":false,"suffix":""},{"dropping-particle":"","family":"Forsell","given":"Nicklas","non-dropping-particle":"","parse-names":false,"suffix":""},{"dropping-particle":"","family":"Kuramochi","given":"Takeshi","non-dropping-particle":"","parse-names":false,"suffix":""},{"dropping-particle":"","family":"Coninck","given":"Heleen","non-dropping-particle":"de","parse-names":false,"suffix":""},{"dropping-particle":"","family":"Vuuren","given":"Detlef P.","non-dropping-particle":"van","parse-names":false,"suffix":""}],"container-title":"Climate Policy","id":"ITEM-5","issue":"9","issued":{"date-parts":[["2018"]]},"page":"1103-1113","title":"Reducing global greenhouse gas emissions by replicating successful sector examples: the “good practice policies” scenario.","type":"article-journal","volume":"18"},"uris":["http://www.mendeley.com/documents/?uuid=bb5de496-326f-4e22-96c5-e1f95c5cdd94"]}],"mendeley":{"formattedCitation":"(IEA/IRENA, 2017; Kuramochi &lt;i&gt;et al.&lt;/i&gt;, 2018; Roelfsema &lt;i&gt;et al.&lt;/i&gt;, 2018; UNFCCC, 2018; Knobloch &lt;i&gt;et al.&lt;/i&gt;, 2020)","plainTextFormattedCitation":"(IEA/IRENA, 2017; Kuramochi et al., 2018; Roelfsema et al., 2018; UNFCCC, 2018; Knobloch et al., 2020)","previouslyFormattedCitation":"(IEA/IRENA, 2017; Kuramochi &lt;i&gt;et al.&lt;/i&gt;, 2018; Roelfsema &lt;i&gt;et al.&lt;/i&gt;, 2018; UNFCCC, 2018; Knobloch &lt;i&gt;et al.&lt;/i&gt;, 2020)"},"properties":{"noteIndex":0},"schema":"https://github.com/citation-style-language/schema/raw/master/csl-citation.json"}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(IEA/IRENA, 2017; Kuramochi </w:t>
            </w:r>
            <w:r w:rsidR="009D4BA6" w:rsidRPr="004675D3">
              <w:rPr>
                <w:rFonts w:ascii="Arial" w:hAnsi="Arial" w:cs="Arial"/>
                <w:i/>
                <w:noProof/>
                <w:sz w:val="16"/>
                <w:szCs w:val="16"/>
              </w:rPr>
              <w:t>et al.</w:t>
            </w:r>
            <w:r w:rsidR="009D4BA6" w:rsidRPr="004675D3">
              <w:rPr>
                <w:rFonts w:ascii="Arial" w:hAnsi="Arial" w:cs="Arial"/>
                <w:noProof/>
                <w:sz w:val="16"/>
                <w:szCs w:val="16"/>
              </w:rPr>
              <w:t xml:space="preserve">, 2018; Roelfsema </w:t>
            </w:r>
            <w:r w:rsidR="009D4BA6" w:rsidRPr="004675D3">
              <w:rPr>
                <w:rFonts w:ascii="Arial" w:hAnsi="Arial" w:cs="Arial"/>
                <w:i/>
                <w:noProof/>
                <w:sz w:val="16"/>
                <w:szCs w:val="16"/>
              </w:rPr>
              <w:t>et al.</w:t>
            </w:r>
            <w:r w:rsidR="009D4BA6" w:rsidRPr="004675D3">
              <w:rPr>
                <w:rFonts w:ascii="Arial" w:hAnsi="Arial" w:cs="Arial"/>
                <w:noProof/>
                <w:sz w:val="16"/>
                <w:szCs w:val="16"/>
              </w:rPr>
              <w:t xml:space="preserve">, 2018; UNFCCC, 2018; Knobloch </w:t>
            </w:r>
            <w:r w:rsidR="009D4BA6" w:rsidRPr="004675D3">
              <w:rPr>
                <w:rFonts w:ascii="Arial" w:hAnsi="Arial" w:cs="Arial"/>
                <w:i/>
                <w:noProof/>
                <w:sz w:val="16"/>
                <w:szCs w:val="16"/>
              </w:rPr>
              <w:t>et al.</w:t>
            </w:r>
            <w:r w:rsidR="009D4BA6" w:rsidRPr="004675D3">
              <w:rPr>
                <w:rFonts w:ascii="Arial" w:hAnsi="Arial" w:cs="Arial"/>
                <w:noProof/>
                <w:sz w:val="16"/>
                <w:szCs w:val="16"/>
              </w:rPr>
              <w:t>, 2020)</w:t>
            </w:r>
            <w:r w:rsidRPr="004675D3">
              <w:rPr>
                <w:rFonts w:ascii="Arial" w:hAnsi="Arial" w:cs="Arial"/>
                <w:sz w:val="16"/>
                <w:szCs w:val="16"/>
              </w:rPr>
              <w:fldChar w:fldCharType="end"/>
            </w:r>
          </w:p>
        </w:tc>
      </w:tr>
    </w:tbl>
    <w:p w14:paraId="66BB2956" w14:textId="77777777" w:rsidR="0013146A" w:rsidRPr="004675D3" w:rsidRDefault="0013146A" w:rsidP="00A87596">
      <w:pPr>
        <w:pStyle w:val="Caption"/>
        <w:keepNext/>
        <w:rPr>
          <w:rFonts w:ascii="Arial" w:hAnsi="Arial" w:cs="Arial"/>
        </w:rPr>
      </w:pPr>
      <w:bookmarkStart w:id="15" w:name="_Ref48230539"/>
    </w:p>
    <w:p w14:paraId="461B45C5" w14:textId="013B2B14" w:rsidR="00A87596" w:rsidRPr="004675D3" w:rsidRDefault="00A87596" w:rsidP="00A87596">
      <w:pPr>
        <w:pStyle w:val="Caption"/>
        <w:keepNext/>
        <w:rPr>
          <w:rFonts w:ascii="Arial" w:hAnsi="Arial" w:cs="Arial"/>
        </w:rPr>
      </w:pPr>
      <w:bookmarkStart w:id="16" w:name="_Toc76122088"/>
      <w:r w:rsidRPr="004675D3">
        <w:rPr>
          <w:rFonts w:ascii="Arial" w:hAnsi="Arial" w:cs="Arial"/>
        </w:rPr>
        <w:t xml:space="preserve">Table </w:t>
      </w:r>
      <w:r w:rsidRPr="004675D3">
        <w:rPr>
          <w:rFonts w:ascii="Arial" w:hAnsi="Arial" w:cs="Arial"/>
        </w:rPr>
        <w:fldChar w:fldCharType="begin"/>
      </w:r>
      <w:r w:rsidRPr="004675D3">
        <w:rPr>
          <w:rFonts w:ascii="Arial" w:hAnsi="Arial" w:cs="Arial"/>
        </w:rPr>
        <w:instrText xml:space="preserve"> SEQ Table \* ARABIC </w:instrText>
      </w:r>
      <w:r w:rsidRPr="004675D3">
        <w:rPr>
          <w:rFonts w:ascii="Arial" w:hAnsi="Arial" w:cs="Arial"/>
        </w:rPr>
        <w:fldChar w:fldCharType="separate"/>
      </w:r>
      <w:r w:rsidR="007F3B3C">
        <w:rPr>
          <w:rFonts w:ascii="Arial" w:hAnsi="Arial" w:cs="Arial"/>
          <w:noProof/>
        </w:rPr>
        <w:t>6</w:t>
      </w:r>
      <w:r w:rsidRPr="004675D3">
        <w:rPr>
          <w:rFonts w:ascii="Arial" w:hAnsi="Arial" w:cs="Arial"/>
        </w:rPr>
        <w:fldChar w:fldCharType="end"/>
      </w:r>
      <w:bookmarkEnd w:id="15"/>
      <w:r w:rsidRPr="004675D3">
        <w:rPr>
          <w:rFonts w:ascii="Arial" w:hAnsi="Arial" w:cs="Arial"/>
        </w:rPr>
        <w:t xml:space="preserve"> Policy options classified under the sector ‘agriculture and forestry’</w:t>
      </w:r>
      <w:bookmarkEnd w:id="16"/>
    </w:p>
    <w:tbl>
      <w:tblPr>
        <w:tblStyle w:val="GridTable1Light-Accent311"/>
        <w:tblW w:w="5000" w:type="pct"/>
        <w:tblLook w:val="04A0" w:firstRow="1" w:lastRow="0" w:firstColumn="1" w:lastColumn="0" w:noHBand="0" w:noVBand="1"/>
      </w:tblPr>
      <w:tblGrid>
        <w:gridCol w:w="2252"/>
        <w:gridCol w:w="4937"/>
        <w:gridCol w:w="1827"/>
      </w:tblGrid>
      <w:tr w:rsidR="00A87596" w:rsidRPr="004675D3" w14:paraId="4136C519" w14:textId="77777777" w:rsidTr="00A875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vAlign w:val="center"/>
          </w:tcPr>
          <w:p w14:paraId="1F506757" w14:textId="77777777" w:rsidR="00A87596" w:rsidRPr="004675D3" w:rsidRDefault="00A87596" w:rsidP="00A87596">
            <w:pPr>
              <w:jc w:val="left"/>
              <w:rPr>
                <w:rFonts w:ascii="Arial" w:hAnsi="Arial" w:cs="Arial"/>
                <w:sz w:val="16"/>
                <w:szCs w:val="16"/>
              </w:rPr>
            </w:pPr>
            <w:r w:rsidRPr="004675D3">
              <w:rPr>
                <w:rFonts w:ascii="Arial" w:hAnsi="Arial" w:cs="Arial"/>
                <w:sz w:val="16"/>
                <w:szCs w:val="16"/>
              </w:rPr>
              <w:t>Policy option</w:t>
            </w:r>
          </w:p>
        </w:tc>
        <w:tc>
          <w:tcPr>
            <w:tcW w:w="2738" w:type="pct"/>
            <w:vAlign w:val="center"/>
          </w:tcPr>
          <w:p w14:paraId="6A994719" w14:textId="77777777" w:rsidR="00A87596" w:rsidRPr="004675D3" w:rsidRDefault="00A87596" w:rsidP="00A87596">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Description</w:t>
            </w:r>
          </w:p>
        </w:tc>
        <w:tc>
          <w:tcPr>
            <w:tcW w:w="1013" w:type="pct"/>
            <w:vAlign w:val="center"/>
          </w:tcPr>
          <w:p w14:paraId="154989C3" w14:textId="77777777" w:rsidR="00A87596" w:rsidRPr="004675D3" w:rsidRDefault="00A87596" w:rsidP="00A87596">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8"/>
              </w:rPr>
              <w:t xml:space="preserve">Further information </w:t>
            </w:r>
          </w:p>
        </w:tc>
      </w:tr>
      <w:tr w:rsidR="00A87596" w:rsidRPr="004675D3" w14:paraId="1FD3A21D"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6D341FF4"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sz w:val="16"/>
                <w:szCs w:val="16"/>
                <w:lang w:eastAsia="ja-JP"/>
              </w:rPr>
              <w:t>Standards and support for sustainable agricultural practices and use of agricultural products</w:t>
            </w:r>
          </w:p>
        </w:tc>
        <w:tc>
          <w:tcPr>
            <w:tcW w:w="2738" w:type="pct"/>
            <w:vAlign w:val="center"/>
          </w:tcPr>
          <w:p w14:paraId="03BAC59C"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Standards and support for sustainable agricultural practices and agricultural products that incentivise emissions reductions in the agriculture sector.</w:t>
            </w:r>
          </w:p>
        </w:tc>
        <w:tc>
          <w:tcPr>
            <w:tcW w:w="1013" w:type="pct"/>
            <w:vAlign w:val="center"/>
          </w:tcPr>
          <w:p w14:paraId="2F3BAFCA" w14:textId="37ED4EA6"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{"citationItems":[{"id":"ITEM-1","itemData":{"ISBN":"9781107654815","author":[{"dropping-particle":"","family":"IPCC","given":"","non-dropping-particle":"","parse-names":false,"suffix":""}],"container-title":"Climate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Kadner","given":"S.","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-1","issued":{"date-parts":[["2014"]]},"publisher":"Cambridge University Press","publisher-place":"Cambridge, UK and New York, NY","title":"Summary for Policymakers","type":"report"},"uris":["http://www.mendeley.com/documents/?uuid=bae1ec7b-5715-4250-a1a4-b415b93c982f"]},{"id":"ITEM-2","itemData":{"author":[{"dropping-particle":"","family":"UNFCCC","given":"","non-dropping-particle":"","parse-names":false,"suffix":""}],"id":"ITEM-2","issued":{"date-parts":[["2018"]]},"publisher":"United Nations Framework Convention on Climate Change","publisher-place":"Bonn, Germany","title":"Talanoa dialogue for climate ambition. Synthesis of the preparatory phase 19/11/2018","type":"report"},"uris":["http://www.mendeley.com/documents/?uuid=11a21a65-a2bc-4057-96bd-68a0b8aeea75"]},{"id":"ITEM-3","itemData":{"DOI":"10.1080/14693062.2017.1397495","ISSN":"1469-3062","author":[{"dropping-particle":"","family":"Kuramochi","given":"Takeshi","non-dropping-particle":"","parse-names":false,"suffix":""},{"dropping-particle":"","family":"Höhne","given":"Niklas","non-dropping-particle":"","parse-names":false,"suffix":""},{"dropping-particle":"","family":"Schaeffer","given":"Michiel","non-dropping-particle":"","parse-names":false,"suffix":""},{"dropping-particle":"","family":"Cantzler","given":"Jasmin","non-dropping-particle":"","parse-names":false,"suffix":""},{"dropping-particle":"","family":"Hare","given":"Bill","non-dropping-particle":"","parse-names":false,"suffix":""},{"dropping-particle":"","family":"Deng","given":"Yvonne","non-dropping-particle":"","parse-names":false,"suffix":""},{"dropping-particle":"","family":"Sterl","given":"Sebastian","non-dropping-particle":"","parse-names":false,"suffix":""},{"dropping-particle":"","family":"Hagemann","given":"Markus","non-dropping-particle":"","parse-names":false,"suffix":""},{"dropping-particle":"","family":"Rocha","given":"Marcia","non-dropping-particle":"","parse-names":false,"suffix":""},{"dropping-particle":"","family":"Yanguas-Parra","given":"Paola Andrea","non-dropping-particle":"","parse-names":false,"suffix":""},{"dropping-particle":"","family":"Mir","given":"Goher-Ur-Rehman","non-dropping-particle":"","parse-names":false,"suffix":""},{"dropping-particle":"","family":"Wong","given":"Lindee","non-dropping-particle":"","parse-names":false,"suffix":""},{"dropping-particle":"","family":"El-Laboudy","given":"Tarik","non-dropping-particle":"","parse-names":false,"suffix":""},{"dropping-particle":"","family":"Wouters","given":"Karlien","non-dropping-particle":"","parse-names":false,"suffix":""},{"dropping-particle":"","family":"Deryng","given":"Delphine","non-dropping-particle":"","parse-names":false,"suffix":""},{"dropping-particle":"","family":"Blok","given":"Kornelis","non-dropping-particle":"","parse-names":false,"suffix":""}],"container-title":"Climate Policy","id":"ITEM-3","issue":"3","issued":{"date-parts":[["2018","3","16"]]},"page":"287-305","title":"Ten key short-term sectoral benchmarks to limit warming to 1.5°C","type":"article-journal","volume":"18"},"uris":["http://www.mendeley.com/documents/?uuid=3032dc5f-5e33-4133-9cfd-4e1dfff78e31"]},{"id":"ITEM-4","itemData":{"DOI":"10.1038/s41558-019-0591-9","author":[{"dropping-particle":"","family":"Roe","given":"Stephanie","non-dropping-particle":"","parse-names":false,"suffix":""},{"dropping-particle":"","family":"Streck","given":"Charlotte","non-dropping-particle":"","parse-names":false,"suffix":""},{"dropping-particle":"","family":"Obersteiner","given":"Michael","non-dropping-particle":"","parse-names":false,"suffix":""},{"dropping-particle":"","family":"Frank","given":"Stefan","non-dropping-particle":"","parse-names":false,"suffix":""},{"dropping-particle":"","family":"Griscom","given":"Bronson","non-dropping-particle":"","parse-names":false,"suffix":""},{"dropping-particle":"","family":"Drouet","given":"Laurent","non-dropping-particle":"","parse-names":false,"suffix":""},{"dropping-particle":"","family":"Fricko","given":"Oliver","non-dropping-particle":"","parse-names":false,"suffix":""},{"dropping-particle":"","family":"Gusti","given":"Mykola","non-dropping-particle":"","parse-names":false,"suffix":""},{"dropping-particle":"","family":"Harris","given":"Nancy","non-dropping-particle":"","parse-names":false,"suffix":""},{"dropping-particle":"","family":"Hasegawa","given":"Tomoko","non-dropping-particle":"","parse-names":false,"suffix":""},{"dropping-particle":"","family":"Hausfather","given":"Zeke","non-dropping-particle":"","parse-names":false,"suffix":""},{"dropping-particle":"","family":"Havlík","given":"Petr","non-dropping-particle":"","parse-names":false,"suffix":""},{"dropping-particle":"","family":"House","given":"Jo","non-dropping-particle":"","parse-names":false,"suffix":""},{"dropping-particle":"","family":"Nabuurs","given":"Gert-jan","non-dropping-particle":"","parse-names":false,"suffix":""},{"dropping-particle":"","family":"Popp","given":"Alexander","non-dropping-particle":"","parse-names":false,"suffix":""},{"dropping-particle":"","family":"José","given":"María","non-dropping-particle":"","parse-names":false,"suffix":""},{"dropping-particle":"","family":"Sánchez","given":"Sanz","non-dropping-particle":"","parse-names":false,"suffix":""},{"dropping-particle":"","family":"Sanderman","given":"Jonathan","non-dropping-particle":"","parse-names":false,"suffix":""},{"dropping-particle":"","family":"Smith","given":"Pete","non-dropping-particle":"","parse-names":false,"suffix":""},{"dropping-particle":"","family":"Stehfest","given":"Elke","non-dropping-particle":"","parse-names":false,"suffix":""},{"dropping-particle":"","family":"Lawrence","given":"Deborah","non-dropping-particle":"","parse-names":false,"suffix":""}],"container-title":"Nat. Clim. Chang","id":"ITEM-4","issued":{"date-parts":[["2020"]]},"page":"817-828","title":"Contribution of the land sector to a 1.5°C world","type":"article-journal","volume":"9"},"uris":["http://www.mendeley.com/documents/?uuid=cce9c3c1-eb49-4803-b2d1-3a04350c73ec"]}],"mendeley":{"formattedCitation":"(IPCC, 2014; Kuramochi &lt;i&gt;et al.&lt;/i&gt;, 2018; UNFCCC, 2018; Roe &lt;i&gt;et al.&lt;/i&gt;, 2020)","plainTextFormattedCitation":"(IPCC, 2014; Kuramochi et al., 2018; UNFCCC, 2018; Roe et al., 2020)","previouslyFormattedCitation":"(IPCC, 2014; Kuramochi &lt;i&gt;et al.&lt;/i&gt;, 2018; UNFCCC, 2018; Roe &lt;i&gt;et al.&lt;/i&gt;, 2020)"},"properties":{"noteIndex":0},"schema":"https://github.com/citation-style-language/schema/raw/master/csl-citation.json"}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(IPCC, 2014; Kuramochi </w:t>
            </w:r>
            <w:r w:rsidR="009D4BA6" w:rsidRPr="004675D3">
              <w:rPr>
                <w:rFonts w:ascii="Arial" w:hAnsi="Arial" w:cs="Arial"/>
                <w:i/>
                <w:noProof/>
                <w:sz w:val="16"/>
                <w:szCs w:val="16"/>
              </w:rPr>
              <w:t>et al.</w:t>
            </w:r>
            <w:r w:rsidR="009D4BA6" w:rsidRPr="004675D3">
              <w:rPr>
                <w:rFonts w:ascii="Arial" w:hAnsi="Arial" w:cs="Arial"/>
                <w:noProof/>
                <w:sz w:val="16"/>
                <w:szCs w:val="16"/>
              </w:rPr>
              <w:t xml:space="preserve">, 2018; UNFCCC, 2018; Roe </w:t>
            </w:r>
            <w:r w:rsidR="009D4BA6" w:rsidRPr="004675D3">
              <w:rPr>
                <w:rFonts w:ascii="Arial" w:hAnsi="Arial" w:cs="Arial"/>
                <w:i/>
                <w:noProof/>
                <w:sz w:val="16"/>
                <w:szCs w:val="16"/>
              </w:rPr>
              <w:t>et al.</w:t>
            </w:r>
            <w:r w:rsidR="009D4BA6" w:rsidRPr="004675D3">
              <w:rPr>
                <w:rFonts w:ascii="Arial" w:hAnsi="Arial" w:cs="Arial"/>
                <w:noProof/>
                <w:sz w:val="16"/>
                <w:szCs w:val="16"/>
              </w:rPr>
              <w:t>, 2020)</w:t>
            </w:r>
            <w:r w:rsidRPr="004675D3">
              <w:rPr>
                <w:rFonts w:ascii="Arial" w:hAnsi="Arial" w:cs="Arial"/>
                <w:sz w:val="16"/>
                <w:szCs w:val="16"/>
              </w:rPr>
              <w:fldChar w:fldCharType="end"/>
            </w:r>
          </w:p>
        </w:tc>
      </w:tr>
      <w:tr w:rsidR="00A87596" w:rsidRPr="004675D3" w14:paraId="7368DDE5"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14FF0230" w14:textId="77777777" w:rsidR="00A87596" w:rsidRPr="004675D3" w:rsidRDefault="00A87596" w:rsidP="00A87596">
            <w:pPr>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sz w:val="16"/>
                <w:szCs w:val="16"/>
                <w:lang w:eastAsia="ja-JP"/>
              </w:rPr>
              <w:t>Incentives to reduce CO2 emissions from agriculture</w:t>
            </w:r>
          </w:p>
        </w:tc>
        <w:tc>
          <w:tcPr>
            <w:tcW w:w="2738" w:type="pct"/>
            <w:vAlign w:val="center"/>
          </w:tcPr>
          <w:p w14:paraId="1603A223"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Incentives to reduce emissions in subsectors, including CO</w:t>
            </w:r>
            <w:r w:rsidRPr="004675D3">
              <w:rPr>
                <w:rFonts w:ascii="Arial" w:hAnsi="Arial" w:cs="Arial"/>
                <w:sz w:val="16"/>
                <w:szCs w:val="16"/>
                <w:vertAlign w:val="subscript"/>
              </w:rPr>
              <w:t>2</w:t>
            </w:r>
            <w:r w:rsidRPr="004675D3">
              <w:rPr>
                <w:rFonts w:ascii="Arial" w:hAnsi="Arial" w:cs="Arial"/>
                <w:sz w:val="16"/>
                <w:szCs w:val="16"/>
              </w:rPr>
              <w:t xml:space="preserve"> emissions from agricultural soils. Emissions related to energy-CO</w:t>
            </w:r>
            <w:r w:rsidRPr="004675D3">
              <w:rPr>
                <w:rFonts w:ascii="Arial" w:hAnsi="Arial" w:cs="Arial"/>
                <w:sz w:val="16"/>
                <w:szCs w:val="16"/>
                <w:vertAlign w:val="subscript"/>
              </w:rPr>
              <w:t>2</w:t>
            </w:r>
            <w:r w:rsidRPr="004675D3">
              <w:rPr>
                <w:rFonts w:ascii="Arial" w:hAnsi="Arial" w:cs="Arial"/>
                <w:sz w:val="16"/>
                <w:szCs w:val="16"/>
              </w:rPr>
              <w:t xml:space="preserve"> are covered in the Electricity and heat sector.</w:t>
            </w:r>
          </w:p>
        </w:tc>
        <w:tc>
          <w:tcPr>
            <w:tcW w:w="1013" w:type="pct"/>
            <w:vAlign w:val="center"/>
          </w:tcPr>
          <w:p w14:paraId="246FE31F" w14:textId="3A1D3B4A"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{"citationItems":[{"id":"ITEM-1","itemData":{"DOI":"10.1038/s41598-020-62267-6","ISSN":"2045-2322","abstract":"Vegetated land surfaces play an important role in determining the fate of carbon in the global carbon cycle. However, our understanding of the terrestrial biosphere on a global scale is subject to considerable uncertainty, especially concerning the impacts of climatic variables on the carbon cycle. Soil is a source and also a sink of CO2 exchange and helps in carbon sequestration. Agricultural management practices influence soil water dynamics, as well as carbon cycling by changing soil CO2 emission and uptake rates. The rate of soil CO2 emission varies for different crops and different organic amendments. The major goal of this study was to assess the impacts of the type and rate of organic amendment on soil CO2 emission in a collard greens crop grown in the southeast Texas environment. Thirty-six plots were developed to grow collard greens on Prairie View A&amp;M University’s Research Farm. Three types of organic amendments (Chicken manure, Dairy manure, and Milorganite), at four levels of application (0, 168, 336, and 672 kg N/ha) were used and replicated three times. Each organic amendment type was applied to nine randomly selected plots. Three random plots were used as a control in each row. We measured daily soil CO2 emission for the first two weeks and every other day in a week during the experiment. We evaluated the effects of organic amendments and the application rates on soil CO2 emission for collard greens during two growing seasons. The results showed higher the application rates for each organic amendment, higher the CO2 emissions from the soil. The results also showed higher cumulative CO2 emissions for the soils amended with chicken manure and milorganite, but lowest for the soils amended with dairy manure. This field experiment and analyses help better understand the temporal and spatial variations of soil CO2 emission, and also help to develop best management practices to maximize carbon sequestration and to minimize soil CO2 emissions during the growth periods of collard greens under changing temperatures using different organic amendments, and application rates.","author":[{"dropping-particle":"","family":"Ray","given":"Ram L","non-dropping-particle":"","parse-names":false,"suffix":""},{"dropping-particle":"","family":"Griffin","given":"Richard W","non-dropping-particle":"","parse-names":false,"suffix":""},{"dropping-particle":"","family":"Fares","given":"Ali","non-dropping-particle":"","parse-names":false,"suffix":""},{"dropping-particle":"","family":"Elhassan","given":"Almoutaz","non-dropping-particle":"","parse-names":false,"suffix":""},{"dropping-particle":"","family":"Awal","given":"Ripendra","non-dropping-particle":"","parse-names":false,"suffix":""},{"dropping-particle":"","family":"Woldesenbet","given":"Selamawit","non-dropping-particle":"","parse-names":false,"suffix":""},{"dropping-particle":"","family":"Risch","given":"Eric","non-dropping-particle":"","parse-names":false,"suffix":""}],"container-title":"Scientific Reports","id":"ITEM-1","issue":"1","issued":{"date-parts":[["2020"]]},"page":"5849","title":"Soil CO2 emission in response to organic amendments, temperature, and rainfall","type":"article-journal","volume":"10"},"uris":["http://www.mendeley.com/documents/?uuid=ac181f31-c82c-4bb2-826a-18d4f10ad2c8"]}],"mendeley":{"formattedCitation":"(Ray &lt;i&gt;et al.&lt;/i&gt;, 2020)","plainTextFormattedCitation":"(Ray et al., 2020)","previouslyFormattedCitation":"(Ray &lt;i&gt;et al.&lt;/i&gt;, 2020)"},"properties":{"noteIndex":0},"schema":"https://github.com/citation-style-language/schema/raw/master/csl-citation.json"}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(Ray </w:t>
            </w:r>
            <w:r w:rsidR="009D4BA6" w:rsidRPr="004675D3">
              <w:rPr>
                <w:rFonts w:ascii="Arial" w:hAnsi="Arial" w:cs="Arial"/>
                <w:i/>
                <w:noProof/>
                <w:sz w:val="16"/>
                <w:szCs w:val="16"/>
              </w:rPr>
              <w:t>et al.</w:t>
            </w:r>
            <w:r w:rsidR="009D4BA6" w:rsidRPr="004675D3">
              <w:rPr>
                <w:rFonts w:ascii="Arial" w:hAnsi="Arial" w:cs="Arial"/>
                <w:noProof/>
                <w:sz w:val="16"/>
                <w:szCs w:val="16"/>
              </w:rPr>
              <w:t>, 2020)</w:t>
            </w:r>
            <w:r w:rsidRPr="004675D3">
              <w:rPr>
                <w:rFonts w:ascii="Arial" w:hAnsi="Arial" w:cs="Arial"/>
                <w:sz w:val="16"/>
                <w:szCs w:val="16"/>
              </w:rPr>
              <w:fldChar w:fldCharType="end"/>
            </w:r>
          </w:p>
        </w:tc>
      </w:tr>
      <w:tr w:rsidR="00A87596" w:rsidRPr="004675D3" w14:paraId="65A05DC7"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19159EE4"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sz w:val="16"/>
                <w:szCs w:val="16"/>
                <w:lang w:eastAsia="ja-JP"/>
              </w:rPr>
              <w:t>Incentives to reduce CH4 emissions from agriculture</w:t>
            </w:r>
          </w:p>
        </w:tc>
        <w:tc>
          <w:tcPr>
            <w:tcW w:w="2738" w:type="pct"/>
            <w:vAlign w:val="center"/>
          </w:tcPr>
          <w:p w14:paraId="6D7D5EAD"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Incentives to reduce emissions in subsectors, including CH</w:t>
            </w:r>
            <w:r w:rsidRPr="004675D3">
              <w:rPr>
                <w:rFonts w:ascii="Arial" w:hAnsi="Arial" w:cs="Arial"/>
                <w:sz w:val="16"/>
                <w:szCs w:val="16"/>
                <w:vertAlign w:val="subscript"/>
              </w:rPr>
              <w:t>4</w:t>
            </w:r>
            <w:r w:rsidRPr="004675D3">
              <w:rPr>
                <w:rFonts w:ascii="Arial" w:hAnsi="Arial" w:cs="Arial"/>
                <w:sz w:val="16"/>
                <w:szCs w:val="16"/>
              </w:rPr>
              <w:t xml:space="preserve"> emissions from animals, such as incentives for improved livestock production management.</w:t>
            </w:r>
          </w:p>
        </w:tc>
        <w:tc>
          <w:tcPr>
            <w:tcW w:w="1013" w:type="pct"/>
            <w:vAlign w:val="center"/>
          </w:tcPr>
          <w:p w14:paraId="7DA6087B" w14:textId="108CD8E2"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{"citationItems":[{"id":"ITEM-1","itemData":{"DOI":"10.1038/s41558-018-0358-8","ISSN":"1758-6798","abstract":"Agricultural methane and nitrous oxide emissions represent around 10–12% of total anthropogenic GHG emissions and have a key role to play in achieving a 1.5 °C (above pre-industrial) climate stabilization target. Using a multi-model assessment approach, we quantify the potential contribution of agriculture to the 1.5 °C target and decompose the mitigation potential by emission source, region and mitigation mechanism. The results show that the livestock sector will be vital to achieve emission reductions consistent with the 1.5 °C target mainly through emission-reducing technologies or structural changes. Agriculture may contribute emission reductions of 0.8–1.4 Gt of CO2-equivalent (CO2e) yr−1 at just US$20 per tCO2e in 2050. Combined with dietary changes, emission reductions can be increased to 1.7–1.8 GtCO2e yr−1. At carbon prices compatible with the 1.5 °C target, agriculture could even provide average emission savings of 3.9 GtCO2e yr−1 in 2050, which represents around 8% of current GHG emissions.","author":[{"dropping-particle":"","family":"Frank","given":"Stefan","non-dropping-particle":"","parse-names":false,"suffix":""},{"dropping-particle":"","family":"Havlík","given":"Petr","non-dropping-particle":"","parse-names":false,"suffix":""},{"dropping-particle":"","family":"Stehfest","given":"Elke","non-dropping-particle":"","parse-names":false,"suffix":""},{"dropping-particle":"","family":"Meijl","given":"Hans","non-dropping-particle":"van","parse-names":false,"suffix":""},{"dropping-particle":"","family":"Witzke","given":"Peter","non-dropping-particle":"","parse-names":false,"suffix":""},{"dropping-particle":"","family":"Pérez-Domínguez","given":"Ignacio","non-dropping-particle":"","parse-names":false,"suffix":""},{"dropping-particle":"","family":"Dijk","given":"Michiel","non-dropping-particle":"van","parse-names":false,"suffix":""},{"dropping-particle":"","family":"Doelman","given":"Jonathan C","non-dropping-particle":"","parse-names":false,"suffix":""},{"dropping-particle":"","family":"Fellmann","given":"Thomas","non-dropping-particle":"","parse-names":false,"suffix":""},{"dropping-particle":"","family":"Koopman","given":"Jason F L","non-dropping-particle":"","parse-names":false,"suffix":""},{"dropping-particle":"","family":"Tabeau","given":"Andrzej","non-dropping-particle":"","parse-names":false,"suffix":""},{"dropping-particle":"","family":"Valin","given":"Hugo","non-dropping-particle":"","parse-names":false,"suffix":""}],"container-title":"Nature Climate Change","id":"ITEM-1","issue":"1","issued":{"date-parts":[["2019"]]},"page":"66-72","title":"Agricultural non-CO2 emission reduction potential in the context of the 1.5 °C target","type":"article-journal","volume":"9"},"uris":["http://www.mendeley.com/documents/?uuid=616eabcf-0dc0-463f-a857-cfd70b9e10c2"]},{"id":"ITEM-2","itemData":{"DOI":"10.1038/nclimate2925","ISBN":"1758-678X","ISSN":"1758-678X","abstract":"The livestock sector supports about 1.3 billion producers and retailers, and contributes 40–50% of agricultural GDP. We estimated that between 1995 and 2005, the livestock sector was responsible for greenhouse gas emissions of 5.6–7.5 GtCO2e yr−1. Livestock accounts for up to half of the technical mitigation potential of the agriculture, forestry and land-use sectors, through management options that sustainably intensify livestock production, promote carbon sequestration in rangelands and reduce emissions from manures, and through reductions in the demand for livestock products. The economic potential of these management alternatives is less than 10% of what is technically possible because of adoption constraints, costs and numerous trade-offs. The mitigation potential of reductions in livestock product consumption is large, but their economic potential is unknown at present. More research and investment are needed to increase the affordability and adoption of mitigation practices, to moderate consumption of livestock products where appropriate, and to avoid negative impacts on livelihoods, economic activities and the environment.","author":[{"dropping-particle":"","family":"Herrero","given":"M.","non-dropping-particle":"","parse-names":false,"suffix":""},{"dropping-particle":"","family":"Henderson","given":"B.","non-dropping-particle":"","parse-names":false,"suffix":""},{"dropping-particle":"","family":"Havlík","given":"P.","non-dropping-particle":"","parse-names":false,"suffix":""},{"dropping-particle":"","family":"Thornton","given":"P. K.","non-dropping-particle":"","parse-names":false,"suffix":""},{"dropping-particle":"","family":"Conant","given":"R. T.","non-dropping-particle":"","parse-names":false,"suffix":""},{"dropping-particle":"","family":"Smith","given":"P.","non-dropping-particle":"","parse-names":false,"suffix":""},{"dropping-particle":"","family":"Wirsenius","given":"S.","non-dropping-particle":"","parse-names":false,"suffix":""},{"dropping-particle":"","family":"Hristov","given":"A. N.","non-dropping-particle":"","parse-names":false,"suffix":""},{"dropping-particle":"","family":"Gerber","given":"P.","non-dropping-particle":"","parse-names":false,"suffix":""},{"dropping-particle":"","family":"Gill","given":"M.","non-dropping-particle":"","parse-names":false,"suffix":""},{"dropping-particle":"","family":"Butterbach-Bahl","given":"K.","non-dropping-particle":"","parse-names":false,"suffix":""},{"dropping-particle":"","family":"H.","given":"Valin","non-dropping-particle":"","parse-names":false,"suffix":""},{"dropping-particle":"","family":"Garnett","given":"T.","non-dropping-particle":"","parse-names":false,"suffix":""},{"dropping-particle":"","family":"Stehfest","given":"E.","non-dropping-particle":"","parse-names":false,"suffix":""}],"container-title":"Nature Climate Change","id":"ITEM-2","issue":"March","issued":{"date-parts":[["2016"]]},"note":"NULL","page":"452-461","title":"Greenhouse gas mitigation potentials in the livestock sector","type":"article-journal","volume":"6"},"uris":["http://www.mendeley.com/documents/?uuid=8a3e21c0-335d-4f97-9979-5f9c5b7a7234"]},{"id":"ITEM-3","itemData":{"DOI":"10.1038/s41467-018-03489-1","ISSN":"2041-1723","author":[{"dropping-particle":"","family":"Frank","given":"Stefan","non-dropping-particle":"","parse-names":false,"suffix":""},{"dropping-particle":"","family":"Beach","given":"Robert","non-dropping-particle":"","parse-names":false,"suffix":""},{"dropping-particle":"","family":"Havlík","given":"Petr","non-dropping-particle":"","parse-names":false,"suffix":""},{"dropping-particle":"","family":"Valin","given":"Hugo","non-dropping-particle":"","parse-names":false,"suffix":""},{"dropping-particle":"","family":"Herrero","given":"Mario","non-dropping-particle":"","parse-names":false,"suffix":""},{"dropping-particle":"","family":"Mosnier","given":"Aline","non-dropping-particle":"","parse-names":false,"suffix":""},{"dropping-particle":"","family":"Hasegawa","given":"Tomoko","non-dropping-particle":"","parse-names":false,"suffix":""},{"dropping-particle":"","family":"Creason","given":"Jared","non-dropping-particle":"","parse-names":false,"suffix":""},{"dropping-particle":"","family":"Ragnauth","given":"Shaun","non-dropping-particle":"","parse-names":false,"suffix":""},{"dropping-particle":"","family":"Obersteiner","given":"Michael","non-dropping-particle":"","parse-names":false,"suffix":""}],"container-title":"Nature Communications","id":"ITEM-3","issue":"1","issued":{"date-parts":[["2018","12","13"]]},"page":"1060","title":"Structural change as a key component for agricultural non-CO2 mitigation efforts","type":"article-journal","volume":"9"},"uris":["http://www.mendeley.com/documents/?uuid=141929cd-31a2-4d2e-a5fa-9bd347cddd7a"]}],"mendeley":{"formattedCitation":"(Herrero &lt;i&gt;et al.&lt;/i&gt;, 2016; Frank &lt;i&gt;et al.&lt;/i&gt;, 2018, 2019)","plainTextFormattedCitation":"(Herrero et al., 2016; Frank et al., 2018, 2019)","previouslyFormattedCitation":"(Herrero &lt;i&gt;et al.&lt;/i&gt;, 2016; Frank &lt;i&gt;et al.&lt;/i&gt;, 2018, 2019)"},"properties":{"noteIndex":0},"schema":"https://github.com/citation-style-language/schema/raw/master/csl-citation.json"}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(Herrero </w:t>
            </w:r>
            <w:r w:rsidR="009D4BA6" w:rsidRPr="004675D3">
              <w:rPr>
                <w:rFonts w:ascii="Arial" w:hAnsi="Arial" w:cs="Arial"/>
                <w:i/>
                <w:noProof/>
                <w:sz w:val="16"/>
                <w:szCs w:val="16"/>
              </w:rPr>
              <w:t>et al.</w:t>
            </w:r>
            <w:r w:rsidR="009D4BA6" w:rsidRPr="004675D3">
              <w:rPr>
                <w:rFonts w:ascii="Arial" w:hAnsi="Arial" w:cs="Arial"/>
                <w:noProof/>
                <w:sz w:val="16"/>
                <w:szCs w:val="16"/>
              </w:rPr>
              <w:t xml:space="preserve">, 2016; Frank </w:t>
            </w:r>
            <w:r w:rsidR="009D4BA6" w:rsidRPr="004675D3">
              <w:rPr>
                <w:rFonts w:ascii="Arial" w:hAnsi="Arial" w:cs="Arial"/>
                <w:i/>
                <w:noProof/>
                <w:sz w:val="16"/>
                <w:szCs w:val="16"/>
              </w:rPr>
              <w:t>et al.</w:t>
            </w:r>
            <w:r w:rsidR="009D4BA6" w:rsidRPr="004675D3">
              <w:rPr>
                <w:rFonts w:ascii="Arial" w:hAnsi="Arial" w:cs="Arial"/>
                <w:noProof/>
                <w:sz w:val="16"/>
                <w:szCs w:val="16"/>
              </w:rPr>
              <w:t>, 2018, 2019)</w:t>
            </w:r>
            <w:r w:rsidRPr="004675D3">
              <w:rPr>
                <w:rFonts w:ascii="Arial" w:hAnsi="Arial" w:cs="Arial"/>
                <w:sz w:val="16"/>
                <w:szCs w:val="16"/>
              </w:rPr>
              <w:fldChar w:fldCharType="end"/>
            </w:r>
          </w:p>
        </w:tc>
      </w:tr>
      <w:tr w:rsidR="00A87596" w:rsidRPr="004675D3" w14:paraId="162A492D"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543A8850"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sz w:val="16"/>
                <w:szCs w:val="16"/>
                <w:lang w:eastAsia="ja-JP"/>
              </w:rPr>
              <w:t>Incentives to reduce N2O emissions from agriculture</w:t>
            </w:r>
          </w:p>
        </w:tc>
        <w:tc>
          <w:tcPr>
            <w:tcW w:w="2738" w:type="pct"/>
            <w:vAlign w:val="center"/>
          </w:tcPr>
          <w:p w14:paraId="648C49EA"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Incentives to reduce emissions in subsectors, including N</w:t>
            </w:r>
            <w:r w:rsidRPr="004675D3">
              <w:rPr>
                <w:rFonts w:ascii="Arial" w:hAnsi="Arial" w:cs="Arial"/>
                <w:sz w:val="16"/>
                <w:szCs w:val="16"/>
                <w:vertAlign w:val="subscript"/>
              </w:rPr>
              <w:t>2</w:t>
            </w:r>
            <w:r w:rsidRPr="004675D3">
              <w:rPr>
                <w:rFonts w:ascii="Arial" w:hAnsi="Arial" w:cs="Arial"/>
                <w:sz w:val="16"/>
                <w:szCs w:val="16"/>
              </w:rPr>
              <w:t>O emissions from animals and soils, such as those addressing the inefficient use of nitrogen fertilizers.</w:t>
            </w:r>
          </w:p>
        </w:tc>
        <w:tc>
          <w:tcPr>
            <w:tcW w:w="1013" w:type="pct"/>
            <w:vAlign w:val="center"/>
          </w:tcPr>
          <w:p w14:paraId="74FC8293" w14:textId="44B85F3E"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{"citationItems":[{"id":"ITEM-1","itemData":{"DOI":"10.1038/s41558-019-0613-7","ISSN":"1758-6798","abstract":"Nitrous oxide (N2O) is the third most important long-lived GHG and an important stratospheric ozone depleting substance. Agricultural practices and the use of N-fertilizers have greatly enhanced emissions of N2O. Here, we present estimates of N2O emissions determined from three global atmospheric inversion frameworks during the period 1998–2016. We find that global N2O emissions increased substantially from 2009 and at a faster rate than estimated by the IPCC emission factor approach. The regions of East Asia and South America made the largest contributions to the global increase. From the inversion-based emissions, we estimate a global emission factor of 2.3 ± 0.6%, which is significantly larger than the IPCC Tier-1 default for combined direct and indirect emissions of 1.375%. The larger emission factor and accelerating emission increase found from the inversions suggest that N2O emission may have a nonlinear response at global and regional scales with high levels of N-input.","author":[{"dropping-particle":"","family":"Thompson","given":"R L","non-dropping-particle":"","parse-names":false,"suffix":""},{"dropping-particle":"","family":"Lassaletta","given":"L","non-dropping-particle":"","parse-names":false,"suffix":""},{"dropping-particle":"","family":"Patra","given":"P K","non-dropping-particle":"","parse-names":false,"suffix":""},{"dropping-particle":"","family":"Wilson","given":"C","non-dropping-particle":"","parse-names":false,"suffix":""},{"dropping-particle":"","family":"Wells","given":"K C","non-dropping-particle":"","parse-names":false,"suffix":""},{"dropping-particle":"","family":"Gressent","given":"A","non-dropping-particle":"","parse-names":false,"suffix":""},{"dropping-particle":"","family":"Koffi","given":"E N","non-dropping-particle":"","parse-names":false,"suffix":""},{"dropping-particle":"","family":"Chipperfield","given":"M P","non-dropping-particle":"","parse-names":false,"suffix":""},{"dropping-particle":"","family":"Winiwarter","given":"W","non-dropping-particle":"","parse-names":false,"suffix":""},{"dropping-particle":"","family":"Davidson","given":"E A","non-dropping-particle":"","parse-names":false,"suffix":""},{"dropping-particle":"","family":"Tian","given":"H","non-dropping-particle":"","parse-names":false,"suffix":""},{"dropping-particle":"","family":"Canadell","given":"J G","non-dropping-particle":"","parse-names":false,"suffix":""}],"container-title":"Nature Climate Change","id":"ITEM-1","issue":"12","issued":{"date-parts":[["2019"]]},"page":"993-998","title":"Acceleration of global N2O emissions seen from two decades of atmospheric inversion","type":"article-journal","volume":"9"},"uris":["http://www.mendeley.com/documents/?uuid=a3fec435-9ead-49e2-849d-8dbcd23394ba"]},{"id":"ITEM-2","itemData":{"DOI":"10.1038/s41558-018-0358-8","ISSN":"1758-6798","abstract":"Agricultural methane and nitrous oxide emissions represent around 10–12% of total anthropogenic GHG emissions and have a key role to play in achieving a 1.5 °C (above pre-industrial) climate stabilization target. Using a multi-model assessment approach, we quantify the potential contribution of agriculture to the 1.5 °C target and decompose the mitigation potential by emission source, region and mitigation mechanism. The results show that the livestock sector will be vital to achieve emission reductions consistent with the 1.5 °C target mainly through emission-reducing technologies or structural changes. Agriculture may contribute emission reductions of 0.8–1.4 Gt of CO2-equivalent (CO2e) yr−1 at just US$20 per tCO2e in 2050. Combined with dietary changes, emission reductions can be increased to 1.7–1.8 GtCO2e yr−1. At carbon prices compatible with the 1.5 °C target, agriculture could even provide average emission savings of 3.9 GtCO2e yr−1 in 2050, which represents around 8% of current GHG emissions.","author":[{"dropping-particle":"","family":"Frank","given":"Stefan","non-dropping-particle":"","parse-names":false,"suffix":""},{"dropping-particle":"","family":"Havlík","given":"Petr","non-dropping-particle":"","parse-names":false,"suffix":""},{"dropping-particle":"","family":"Stehfest","given":"Elke","non-dropping-particle":"","parse-names":false,"suffix":""},{"dropping-particle":"","family":"Meijl","given":"Hans","non-dropping-particle":"van","parse-names":false,"suffix":""},{"dropping-particle":"","family":"Witzke","given":"Peter","non-dropping-particle":"","parse-names":false,"suffix":""},{"dropping-particle":"","family":"Pérez-Domínguez","given":"Ignacio","non-dropping-particle":"","parse-names":false,"suffix":""},{"dropping-particle":"","family":"Dijk","given":"Michiel","non-dropping-particle":"van","parse-names":false,"suffix":""},{"dropping-particle":"","family":"Doelman","given":"Jonathan C","non-dropping-particle":"","parse-names":false,"suffix":""},{"dropping-particle":"","family":"Fellmann","given":"Thomas","non-dropping-particle":"","parse-names":false,"suffix":""},{"dropping-particle":"","family":"Koopman","given":"Jason F L","non-dropping-particle":"","parse-names":false,"suffix":""},{"dropping-particle":"","family":"Tabeau","given":"Andrzej","non-dropping-particle":"","parse-names":false,"suffix":""},{"dropping-particle":"","family":"Valin","given":"Hugo","non-dropping-particle":"","parse-names":false,"suffix":""}],"container-title":"Nature Climate Change","id":"ITEM-2","issue":"1","issued":{"date-parts":[["2019"]]},"page":"66-72","title":"Agricultural non-CO2 emission reduction potential in the context of the 1.5 °C target","type":"article-journal","volume":"9"},"uris":["http://www.mendeley.com/documents/?uuid=616eabcf-0dc0-463f-a857-cfd70b9e10c2"]},{"id":"ITEM-3","itemData":{"DOI":"10.1038/nclimate2925","ISBN":"1758-678X","ISSN":"1758-678X","abstract":"The livestock sector supports about 1.3 billion producers and retailers, and contributes 40–50% of agricultural GDP. We estimated that between 1995 and 2005, the livestock sector was responsible for greenhouse gas emissions of 5.6–7.5 GtCO2e yr−1. Livestock accounts for up to half of the technical mitigation potential of the agriculture, forestry and land-use sectors, through management options that sustainably intensify livestock production, promote carbon sequestration in rangelands and reduce emissions from manures, and through reductions in the demand for livestock products. The economic potential of these management alternatives is less than 10% of what is technically possible because of adoption constraints, costs and numerous trade-offs. The mitigation potential of reductions in livestock product consumption is large, but their economic potential is unknown at present. More research and investment are needed to increase the affordability and adoption of mitigation practices, to moderate consumption of livestock products where appropriate, and to avoid negative impacts on livelihoods, economic activities and the environment.","author":[{"dropping-particle":"","family":"Herrero","given":"M.","non-dropping-particle":"","parse-names":false,"suffix":""},{"dropping-particle":"","family":"Henderson","given":"B.","non-dropping-particle":"","parse-names":false,"suffix":""},{"dropping-particle":"","family":"Havlík","given":"P.","non-dropping-particle":"","parse-names":false,"suffix":""},{"dropping-particle":"","family":"Thornton","given":"P. K.","non-dropping-particle":"","parse-names":false,"suffix":""},{"dropping-particle":"","family":"Conant","given":"R. T.","non-dropping-particle":"","parse-names":false,"suffix":""},{"dropping-particle":"","family":"Smith","given":"P.","non-dropping-particle":"","parse-names":false,"suffix":""},{"dropping-particle":"","family":"Wirsenius","given":"S.","non-dropping-particle":"","parse-names":false,"suffix":""},{"dropping-particle":"","family":"Hristov","given":"A. N.","non-dropping-particle":"","parse-names":false,"suffix":""},{"dropping-particle":"","family":"Gerber","given":"P.","non-dropping-particle":"","parse-names":false,"suffix":""},{"dropping-particle":"","family":"Gill","given":"M.","non-dropping-particle":"","parse-names":false,"suffix":""},{"dropping-particle":"","family":"Butterbach-Bahl","given":"K.","non-dropping-particle":"","parse-names":false,"suffix":""},{"dropping-particle":"","family":"H.","given":"Valin","non-dropping-particle":"","parse-names":false,"suffix":""},{"dropping-particle":"","family":"Garnett","given":"T.","non-dropping-particle":"","parse-names":false,"suffix":""},{"dropping-particle":"","family":"Stehfest","given":"E.","non-dropping-particle":"","parse-names":false,"suffix":""}],"container-title":"Nature Climate Change","id":"ITEM-3","issue":"March","issued":{"date-parts":[["2016"]]},"note":"NULL","page":"452-461","title":"Greenhouse gas mitigation potentials in the livestock sector","type":"article-journal","volume":"6"},"uris":["http://www.mendeley.com/documents/?uuid=8a3e21c0-335d-4f97-9979-5f9c5b7a7234"]},{"id":"ITEM-4","itemData":{"DOI":"10.1038/s41467-018-03489-1","ISSN":"2041-1723","author":[{"dropping-particle":"","family":"Frank","given":"Stefan","non-dropping-particle":"","parse-names":false,"suffix":""},{"dropping-particle":"","family":"Beach","given":"Robert","non-dropping-particle":"","parse-names":false,"suffix":""},{"dropping-particle":"","family":"Havlík","given":"Petr","non-dropping-particle":"","parse-names":false,"suffix":""},{"dropping-particle":"","family":"Valin","given":"Hugo","non-dropping-particle":"","parse-names":false,"suffix":""},{"dropping-particle":"","family":"Herrero","given":"Mario","non-dropping-particle":"","parse-names":false,"suffix":""},{"dropping-particle":"","family":"Mosnier","given":"Aline","non-dropping-particle":"","parse-names":false,"suffix":""},{"dropping-particle":"","family":"Hasegawa","given":"Tomoko","non-dropping-particle":"","parse-names":false,"suffix":""},{"dropping-particle":"","family":"Creason","given":"Jared","non-dropping-particle":"","parse-names":false,"suffix":""},{"dropping-particle":"","family":"Ragnauth","given":"Shaun","non-dropping-particle":"","parse-names":false,"suffix":""},{"dropping-particle":"","family":"Obersteiner","given":"Michael","non-dropping-particle":"","parse-names":false,"suffix":""}],"container-title":"Nature Communications","id":"ITEM-4","issue":"1","issued":{"date-parts":[["2018","12","13"]]},"page":"1060","title":"Structural change as a key component for agricultural non-CO2 mitigation efforts","type":"article-journal","volume":"9"},"uris":["http://www.mendeley.com/documents/?uuid=141929cd-31a2-4d2e-a5fa-9bd347cddd7a"]}],"mendeley":{"formattedCitation":"(Herrero &lt;i&gt;et al.&lt;/i&gt;, 2016; Frank &lt;i&gt;et al.&lt;/i&gt;, 2018, 2019; Thompson &lt;i&gt;et al.&lt;/i&gt;, 2019)","plainTextFormattedCitation":"(Herrero et al., 2016; Frank et al., 2018, 2019; Thompson et al., 2019)","previouslyFormattedCitation":"(Herrero &lt;i&gt;et al.&lt;/i&gt;, 2016; Frank &lt;i&gt;et al.&lt;/i&gt;, 2018, 2019; Thompson &lt;i&gt;et al.&lt;/i&gt;, 2019)"},"properties":{"noteIndex":0},"schema":"https://github.com/citation-style-language/schema/raw/master/csl-citation.json"}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(Herrero </w:t>
            </w:r>
            <w:r w:rsidR="009D4BA6" w:rsidRPr="004675D3">
              <w:rPr>
                <w:rFonts w:ascii="Arial" w:hAnsi="Arial" w:cs="Arial"/>
                <w:i/>
                <w:noProof/>
                <w:sz w:val="16"/>
                <w:szCs w:val="16"/>
              </w:rPr>
              <w:t>et al.</w:t>
            </w:r>
            <w:r w:rsidR="009D4BA6" w:rsidRPr="004675D3">
              <w:rPr>
                <w:rFonts w:ascii="Arial" w:hAnsi="Arial" w:cs="Arial"/>
                <w:noProof/>
                <w:sz w:val="16"/>
                <w:szCs w:val="16"/>
              </w:rPr>
              <w:t xml:space="preserve">, 2016; Frank </w:t>
            </w:r>
            <w:r w:rsidR="009D4BA6" w:rsidRPr="004675D3">
              <w:rPr>
                <w:rFonts w:ascii="Arial" w:hAnsi="Arial" w:cs="Arial"/>
                <w:i/>
                <w:noProof/>
                <w:sz w:val="16"/>
                <w:szCs w:val="16"/>
              </w:rPr>
              <w:t>et al.</w:t>
            </w:r>
            <w:r w:rsidR="009D4BA6" w:rsidRPr="004675D3">
              <w:rPr>
                <w:rFonts w:ascii="Arial" w:hAnsi="Arial" w:cs="Arial"/>
                <w:noProof/>
                <w:sz w:val="16"/>
                <w:szCs w:val="16"/>
              </w:rPr>
              <w:t xml:space="preserve">, 2018, 2019; Thompson </w:t>
            </w:r>
            <w:r w:rsidR="009D4BA6" w:rsidRPr="004675D3">
              <w:rPr>
                <w:rFonts w:ascii="Arial" w:hAnsi="Arial" w:cs="Arial"/>
                <w:i/>
                <w:noProof/>
                <w:sz w:val="16"/>
                <w:szCs w:val="16"/>
              </w:rPr>
              <w:t>et al.</w:t>
            </w:r>
            <w:r w:rsidR="009D4BA6" w:rsidRPr="004675D3">
              <w:rPr>
                <w:rFonts w:ascii="Arial" w:hAnsi="Arial" w:cs="Arial"/>
                <w:noProof/>
                <w:sz w:val="16"/>
                <w:szCs w:val="16"/>
              </w:rPr>
              <w:t>, 2019)</w:t>
            </w:r>
            <w:r w:rsidRPr="004675D3">
              <w:rPr>
                <w:rFonts w:ascii="Arial" w:hAnsi="Arial" w:cs="Arial"/>
                <w:sz w:val="16"/>
                <w:szCs w:val="16"/>
              </w:rPr>
              <w:fldChar w:fldCharType="end"/>
            </w:r>
          </w:p>
        </w:tc>
      </w:tr>
      <w:tr w:rsidR="00A87596" w:rsidRPr="004675D3" w14:paraId="5F93F353"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6F45FBEA"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sz w:val="16"/>
                <w:szCs w:val="16"/>
                <w:lang w:eastAsia="ja-JP"/>
              </w:rPr>
              <w:t>Incentives to reduce deforestation and support for afforestation /reforestation</w:t>
            </w:r>
          </w:p>
        </w:tc>
        <w:tc>
          <w:tcPr>
            <w:tcW w:w="2738" w:type="pct"/>
            <w:vAlign w:val="center"/>
          </w:tcPr>
          <w:p w14:paraId="6ADE4587"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Incentives to reduce deforestation and encourage good forestry management via regulatory measures (command-and-control instruments), protection of areas of forests, or economic instruments (</w:t>
            </w:r>
            <w:proofErr w:type="gramStart"/>
            <w:r w:rsidRPr="004675D3">
              <w:rPr>
                <w:rFonts w:ascii="Arial" w:hAnsi="Arial" w:cs="Arial"/>
                <w:sz w:val="16"/>
                <w:szCs w:val="16"/>
              </w:rPr>
              <w:t>e.g.</w:t>
            </w:r>
            <w:proofErr w:type="gramEnd"/>
            <w:r w:rsidRPr="004675D3">
              <w:rPr>
                <w:rFonts w:ascii="Arial" w:hAnsi="Arial" w:cs="Arial"/>
                <w:sz w:val="16"/>
                <w:szCs w:val="16"/>
              </w:rPr>
              <w:t xml:space="preserve"> grants or subsidies to protect forests).</w:t>
            </w:r>
          </w:p>
        </w:tc>
        <w:tc>
          <w:tcPr>
            <w:tcW w:w="1013" w:type="pct"/>
            <w:vAlign w:val="center"/>
          </w:tcPr>
          <w:p w14:paraId="6C1E4041" w14:textId="3011B97E"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DOI":"10.1080/14693062.2017.1397495","ISSN":"1469-3062","author":[{"dropping-particle":"","family":"Kuramochi","given":"Takeshi","non-dropping-particle":"","parse-names":false,"suffix":""},{"dropping-particle":"","family":"Höhne","given":"Niklas","non-dropping-particle":"","parse-names":false,"suffix":""},{"dropping-particle":"","family":"Schaeffer","given":"Michiel","non-dropping-particle":"","parse-names":false,"suffix":""},{"dropping-particle":"","family":"Cantzler","given":"Jasmin","non-dropping-particle":"","parse-names":false,"suffix":""},{"dropping-particle":"","family":"Hare","given":"Bill","non-dropping-particle":"","parse-names":false,"suffix":""},{"dropping-particle":"","family":"Deng","given":"Yvonne","non-dropping-particle":"","parse-names":false,"suffix":""},{"dropping-particle":"","family":"Sterl","given":"Sebastian","non-dropping-particle":"","parse-names":false,"suffix":""},{"dropping-particle":"","family":"Hagemann","given":"Markus","non-dropping-particle":"","parse-names":false,"suffix":""},{"dropping-particle":"","family":"Rocha","given":"Marcia","non-dropping-particle":"","parse-names":false,"suffix":""},{"dropping-particle":"","family":"Yanguas-Parra","given":"Paola Andrea","non-dropping-particle":"","parse-names":false,"suffix":""},{"dropping-particle":"","family":"Mir","given":"Goher-Ur-Rehman","non-dropping-particle":"","parse-names":false,"suffix":""},{"dropping-particle":"","family":"Wong","given":"Lindee","non-dropping-particle":"","parse-names":false,"suffix":""},{"dropping-particle":"","family":"El-Laboudy","given":"Tarik","non-dropping-particle":"","parse-names":false,"suffix":""},{"dropping-particle":"","family":"Wouters","given":"Karlien","non-dropping-particle":"","parse-names":false,"suffix":""},{"dropping-particle":"","family":"Deryng","given":"Delphine","non-dropping-particle":"","parse-names":false,"suffix":""},{"dropping-particle":"","family":"Blok","given":"Kornelis","non-dropping-particle":"","parse-names":false,"suffix":""}],"container-title":"Climate Policy","id":"ITEM-1","issue":"3","issued":{"date-parts":[["2018","3","16"]]},"page":"287-305","title":"Ten key short-term sectoral benchmarks to limit warming to 1.5°C","type":"article-journal","volume":"18"},"uris":["http://www.mendeley.com/documents/?uuid=3032dc5f-5e33-4133-9cfd-4e1dfff78e31"]},{"id":"ITEM-2","itemData":{"DOI":"10.1038/s41558-019-0591-9","author":[{"dropping-particle":"","family":"Roe","given":"Stephanie","non-dropping-particle":"","parse-names":false,"suffix":""},{"dropping-particle":"","family":"Streck","given":"Charlotte","non-dropping-particle":"","parse-names":false,"suffix":""},{"dropping-particle":"","family":"Obersteiner","given":"Michael","non-dropping-particle":"","parse-names":false,"suffix":""},{"dropping-particle":"","family":"Frank","given":"Stefan","non-dropping-particle":"","parse-names":false,"suffix":""},{"dropping-particle":"","family":"Griscom","given":"Bronson","non-dropping-particle":"","parse-names":false,"suffix":""},{"dropping-particle":"","family":"Drouet","given":"Laurent","non-dropping-particle":"","parse-names":false,"suffix":""},{"dropping-particle":"","family":"Fricko","given":"Oliver","non-dropping-particle":"","parse-names":false,"suffix":""},{"dropping-particle":"","family":"Gusti","given":"Mykola","non-dropping-particle":"","parse-names":false,"suffix":""},{"dropping-particle":"","family":"Harris","given":"Nancy","non-dropping-particle":"","parse-names":false,"suffix":""},{"dropping-particle":"","family":"Hasegawa","given":"Tomoko","non-dropping-particle":"","parse-names":false,"suffix":""},{"dropping-particle":"","family":"Hausfather","given":"Zeke","non-dropping-particle":"","parse-names":false,"suffix":""},{"dropping-particle":"","family":"Havlík","given":"Petr","non-dropping-particle":"","parse-names":false,"suffix":""},{"dropping-particle":"","family":"House","given":"Jo","non-dropping-particle":"","parse-names":false,"suffix":""},{"dropping-particle":"","family":"Nabuurs","given":"Gert-jan","non-dropping-particle":"","parse-names":false,"suffix":""},{"dropping-particle":"","family":"Popp","given":"Alexander","non-dropping-particle":"","parse-names":false,"suffix":""},{"dropping-particle":"","family":"José","given":"María","non-dropping-particle":"","parse-names":false,"suffix":""},{"dropping-particle":"","family":"Sánchez","given":"Sanz","non-dropping-particle":"","parse-names":false,"suffix":""},{"dropping-particle":"","family":"Sanderman","given":"Jonathan","non-dropping-particle":"","parse-names":false,"suffix":""},{"dropping-particle":"","family":"Smith","given":"Pete","non-dropping-particle":"","parse-names":false,"suffix":""},{"dropping-particle":"","family":"Stehfest","given":"Elke","non-dropping-particle":"","parse-names":false,"suffix":""},{"dropping-particle":"","family":"Lawrence","given":"Deborah","non-dropping-particle":"","parse-names":false,"suffix":""}],"container-title":"Nat. Clim. Chang","id":"ITEM-2","issued":{"date-parts":[["2020"]]},"page":"817-828","title":"Contribution of the land sector to a 1.5°C world","type":"article-journal","volume":"9"},"uris":["http://www.mendeley.com/documents/?uuid=cce9c3c1-eb49-4803-b2d1-3a04350c73ec"]}],"mendeley":{"formattedCitation":"(Kuramochi &lt;i&gt;et al.&lt;/i&gt;, 2018; Roe &lt;i&gt;et al.&lt;/i&gt;, 2020)","plainTextFormattedCitation":"(Kuramochi et al., 2018; Roe et al., 2020)","previouslyFormattedCitation":"(Kuramochi &lt;i&gt;et al.&lt;/i&gt;, 2018; Roe &lt;i&gt;et al.&lt;/i&gt;, 2020)"},"properties":{"noteIndex":0},"schema":"https://github.com/citation-style-language/schema/raw/master/csl-citation.json"}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(Kuramochi </w:t>
            </w:r>
            <w:r w:rsidR="009D4BA6" w:rsidRPr="004675D3">
              <w:rPr>
                <w:rFonts w:ascii="Arial" w:hAnsi="Arial" w:cs="Arial"/>
                <w:i/>
                <w:noProof/>
                <w:sz w:val="16"/>
                <w:szCs w:val="16"/>
              </w:rPr>
              <w:t>et al.</w:t>
            </w:r>
            <w:r w:rsidR="009D4BA6" w:rsidRPr="004675D3">
              <w:rPr>
                <w:rFonts w:ascii="Arial" w:hAnsi="Arial" w:cs="Arial"/>
                <w:noProof/>
                <w:sz w:val="16"/>
                <w:szCs w:val="16"/>
              </w:rPr>
              <w:t xml:space="preserve">, 2018; Roe </w:t>
            </w:r>
            <w:r w:rsidR="009D4BA6" w:rsidRPr="004675D3">
              <w:rPr>
                <w:rFonts w:ascii="Arial" w:hAnsi="Arial" w:cs="Arial"/>
                <w:i/>
                <w:noProof/>
                <w:sz w:val="16"/>
                <w:szCs w:val="16"/>
              </w:rPr>
              <w:t>et al.</w:t>
            </w:r>
            <w:r w:rsidR="009D4BA6" w:rsidRPr="004675D3">
              <w:rPr>
                <w:rFonts w:ascii="Arial" w:hAnsi="Arial" w:cs="Arial"/>
                <w:noProof/>
                <w:sz w:val="16"/>
                <w:szCs w:val="16"/>
              </w:rPr>
              <w:t>, 2020)</w:t>
            </w:r>
            <w:r w:rsidRPr="004675D3">
              <w:rPr>
                <w:rFonts w:ascii="Arial" w:hAnsi="Arial" w:cs="Arial"/>
                <w:sz w:val="16"/>
                <w:szCs w:val="16"/>
              </w:rPr>
              <w:fldChar w:fldCharType="end"/>
            </w:r>
          </w:p>
        </w:tc>
      </w:tr>
      <w:tr w:rsidR="00A87596" w:rsidRPr="004675D3" w14:paraId="513C25DF" w14:textId="77777777" w:rsidTr="00A87596">
        <w:tc>
          <w:tcPr>
            <w:cnfStyle w:val="001000000000" w:firstRow="0" w:lastRow="0" w:firstColumn="1" w:lastColumn="0" w:oddVBand="0" w:evenVBand="0" w:oddHBand="0" w:evenHBand="0" w:firstRowFirstColumn="0" w:firstRowLastColumn="0" w:lastRowFirstColumn="0" w:lastRowLastColumn="0"/>
            <w:tcW w:w="1249" w:type="pct"/>
            <w:vAlign w:val="center"/>
          </w:tcPr>
          <w:p w14:paraId="49EA9EC7" w14:textId="77777777" w:rsidR="00A87596" w:rsidRPr="004675D3" w:rsidRDefault="00A87596" w:rsidP="00A87596">
            <w:pPr>
              <w:spacing w:line="240" w:lineRule="auto"/>
              <w:jc w:val="left"/>
              <w:rPr>
                <w:rFonts w:ascii="Arial" w:eastAsia="Times New Roman" w:hAnsi="Arial" w:cs="Arial"/>
                <w:noProof/>
                <w:snapToGrid w:val="0"/>
                <w:color w:val="000000"/>
                <w:sz w:val="16"/>
                <w:szCs w:val="16"/>
                <w:lang w:eastAsia="ja-JP"/>
              </w:rPr>
            </w:pPr>
            <w:r w:rsidRPr="004675D3">
              <w:rPr>
                <w:rFonts w:ascii="Arial" w:eastAsia="Times New Roman" w:hAnsi="Arial" w:cs="Arial"/>
                <w:noProof/>
                <w:snapToGrid w:val="0"/>
                <w:sz w:val="16"/>
                <w:szCs w:val="16"/>
                <w:lang w:eastAsia="ja-JP"/>
              </w:rPr>
              <w:t>Sustainability standards for biomass use</w:t>
            </w:r>
          </w:p>
        </w:tc>
        <w:tc>
          <w:tcPr>
            <w:tcW w:w="2738" w:type="pct"/>
            <w:vAlign w:val="center"/>
          </w:tcPr>
          <w:p w14:paraId="48DA1A26" w14:textId="77777777"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Standards for biomass production and use, ensuring that the biomass use leads to overall GHG emissions reductions.</w:t>
            </w:r>
          </w:p>
        </w:tc>
        <w:tc>
          <w:tcPr>
            <w:tcW w:w="1013" w:type="pct"/>
            <w:vAlign w:val="center"/>
          </w:tcPr>
          <w:p w14:paraId="722A062F" w14:textId="39EF0739" w:rsidR="00A87596" w:rsidRPr="004675D3" w:rsidRDefault="00A87596" w:rsidP="00A87596">
            <w:pPr>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fldChar w:fldCharType="begin" w:fldLock="1"/>
            </w:r>
            <w:r w:rsidR="009D4BA6" w:rsidRPr="004675D3">
              <w:rPr>
                <w:rFonts w:ascii="Arial" w:hAnsi="Arial" w:cs="Arial"/>
                <w:sz w:val="16"/>
                <w:szCs w:val="16"/>
              </w:rPr>
              <w:instrText>ADDIN CSL_CITATION {"citationItems":[{"id":"ITEM-1","itemData":{"DOI":"10.1088/1748-9326/aaac88","abstract":"Climate mitigation requires emissions to peak then decline within two decades, but many mitigation models include 100 EJ or more of bioenergy, ignoring emissions from biomass oxidation. Treatment of bioenergy as ‘low carbon’ or carbon neutral often assumes fuels are agricultural or forestry residues that will decompose and emit CO2 if not burned for energy. However, for ‘low carbon’ assumptions about residues to be reasonable, two conditions must be met: biomass must genuinely be material left over from some other process; and cumulative net emissions, the additional CO2 emitted by burning biomass compared to its alternative fate, must be low or negligible in a timeframe meaningful for climate mitigation. This study assesses biomass use and net emissions from the US bioenergy and wood pellet manufacturing sectors. It defines the ratio of cumulative net emissions to combustion, manufacturing and transport emissions as the net emissions impact (NEI), and evaluates the NEI at year 10 and beyond for a variety of scenarios. The analysis indicates the US industrial bioenergy sector mostly burns black liquor and has an NEI of 20% at year 10, while the NEI for plants burning forest residues ranges from 41%–95%. Wood pellets have a NEI of 55%–79% at year 10, with net CO2 emissions of 14–20 tonnes for every tonne of pellets; by year 40, the NEI is 26%–54%. Net emissions may be ten times higher at year 40 if whole trees are harvested for feedstock. Projected global pellet use would generate around 1% of world bioenergy with cumulative net emissions of 2 Gt of CO2 by 2050. Using the NEI to weight biogenic CO2 for inclusion in carbon trading programs and to qualify bioenergy for renewable energy subsidies would reduce emissions more effectively than the current assumption of carbon neutrality.","author":[{"dropping-particle":"","family":"Booth","given":"Mary S","non-dropping-particle":"","parse-names":false,"suffix":""}],"container-title":"Environmental Research Letters","id":"ITEM-1","issue":"3","issued":{"date-parts":[["2018","2"]]},"page":"35001","publisher":"{IOP} Publishing","title":"Not carbon neutral: Assessing the net emissions impact of residues burned for bioenergy","type":"article-journal","volume":"13"},"uris":["http://www.mendeley.com/documents/?uuid=514c6b53-3397-44ce-bd12-e1bac730221d"]},{"id":"ITEM-2","itemData":{"DOI":"10.1016/J.EIAR.2008.11.002","ISSN":"0195-9255","abstract":"Most guidance for carbon footprinting, and most published carbon footprints or LCAs, presume that biomass heating fuels are carbon neutral. However, it is recognised increasingly that this is incorrect: biomass fuels are not always carbon neutral. Indeed, they can in some cases be far more carbon positive than fossil fuels. This flaw in carbon footprinting guidance and practice can be remedied. In carbon footprints (not just of biomass or heating fuels, but all carbon footprints), rather than applying sequestration credits and combustion debits, a ‘carbon-stock change’ line item could be applied instead. Not only would this make carbon footprints more accurate, it would make them consistent with UNFCCC reporting requirements and national reporting practice. There is a strong precedent for this change. This same flaw has already been recognised and partly remedied in standards for and studies of liquid biofuels (e.g. biodiesel and bioethanol), which now account for land-use change, i.e. deforestation. But it is partially or completely missing from other studies and from standards for footprinting and LCA of solid fuels. Carbon-stock changes can be estimated from currently available data. Accuracy of estimates will increase as Kyoto compliant countries report more land use, land use change and forestry (LULUCF) data.","author":[{"dropping-particle":"","family":"Johnson","given":"Eric","non-dropping-particle":"","parse-names":false,"suffix":""}],"container-title":"Environmental Impact Assessment Review","id":"ITEM-2","issue":"3","issued":{"date-parts":[["2009","4","1"]]},"page":"165-168","publisher":"Elsevier","title":"Goodbye to carbon neutral: Getting biomass footprints right","type":"article-journal","volume":"29"},"uris":["http://www.mendeley.com/documents/?uuid=ac7bd46d-9de5-3050-8a99-c16f5374b97a"]},{"id":"ITEM-3","itemData":{"DOI":"10.1038/s41558-017-0006-8","ISSN":"1758-6798","abstract":"Most climate change mitigation scenarios that are consistent with the 1.5–2 °C target rely on a large-scale contribution from biomass, including advanced (second-generation) biofuels. However, land-based biofuel production has been associated with substantial land-use change emissions. Previous studies show a wide range of emission factors, often hiding the influence of spatial heterogeneity. Here we introduce a spatially explicit method for assessing the supply of advanced biofuels at different emission factors and present the results as emission curves. Dedicated crops grown on grasslands, savannahs and abandoned agricultural lands could provide 30 EJBiofuel yr−1 with emission factors less than 40 kg of CO2-equivalent (CO2e) emissions per GJBiofuel (for an 85-year time horizon). This increases to 100 EJBiofuel yr−1 for emission factors less than 60 kgCO2e GJBiofuel−1. While these results are uncertain and depend on model assumptions (including time horizon, spatial resolution, technology assumptions and so on), emission curves improve our understanding of the relationship between biofuel supply and its potential contribution to climate change mitigation while accounting for spatial heterogeneity.","author":[{"dropping-particle":"","family":"Daioglou","given":"Vassilis","non-dropping-particle":"","parse-names":false,"suffix":""},{"dropping-particle":"","family":"Doelman","given":"Jonathan C","non-dropping-particle":"","parse-names":false,"suffix":""},{"dropping-particle":"","family":"Stehfest","given":"Elke","non-dropping-particle":"","parse-names":false,"suffix":""},{"dropping-particle":"","family":"Müller","given":"Christoph","non-dropping-particle":"","parse-names":false,"suffix":""},{"dropping-particle":"","family":"Wicke","given":"Birka","non-dropping-particle":"","parse-names":false,"suffix":""},{"dropping-particle":"","family":"Faaij","given":"Andre","non-dropping-particle":"","parse-names":false,"suffix":""},{"dropping-particle":"","family":"Vuuren","given":"Detlef P","non-dropping-particle":"van","parse-names":false,"suffix":""}],"container-title":"Nature Climate Change","id":"ITEM-3","issue":"12","issued":{"date-parts":[["2017"]]},"page":"920-924","title":"Greenhouse gas emission curves for advanced biofuel supply chains","type":"article-journal","volume":"7"},"uris":["http://www.mendeley.com/documents/?uuid=0e99a83d-450b-4457-b7c2-9ce8b230be91"]}],"mendeley":{"formattedCitation":"(Johnson, 2009; Daioglou &lt;i&gt;et al.&lt;/i&gt;, 2017; Booth, 2018)","plainTextFormattedCitation":"(Johnson, 2009; Daioglou et al., 2017; Booth, 2018)","previouslyFormattedCitation":"(Johnson, 2009; Daioglou &lt;i&gt;et al.&lt;/i&gt;, 2017; Booth, 2018)"},"properties":{"noteIndex":0},"schema":"https://github.com/citation-style-language/schema/raw/master/csl-citation.json"}</w:instrText>
            </w:r>
            <w:r w:rsidRPr="004675D3">
              <w:rPr>
                <w:rFonts w:ascii="Arial" w:hAnsi="Arial" w:cs="Arial"/>
                <w:sz w:val="16"/>
                <w:szCs w:val="16"/>
              </w:rPr>
              <w:fldChar w:fldCharType="separate"/>
            </w:r>
            <w:r w:rsidR="009D4BA6" w:rsidRPr="004675D3">
              <w:rPr>
                <w:rFonts w:ascii="Arial" w:hAnsi="Arial" w:cs="Arial"/>
                <w:noProof/>
                <w:sz w:val="16"/>
                <w:szCs w:val="16"/>
              </w:rPr>
              <w:t xml:space="preserve">(Johnson, 2009; Daioglou </w:t>
            </w:r>
            <w:r w:rsidR="009D4BA6" w:rsidRPr="004675D3">
              <w:rPr>
                <w:rFonts w:ascii="Arial" w:hAnsi="Arial" w:cs="Arial"/>
                <w:i/>
                <w:noProof/>
                <w:sz w:val="16"/>
                <w:szCs w:val="16"/>
              </w:rPr>
              <w:t>et al.</w:t>
            </w:r>
            <w:r w:rsidR="009D4BA6" w:rsidRPr="004675D3">
              <w:rPr>
                <w:rFonts w:ascii="Arial" w:hAnsi="Arial" w:cs="Arial"/>
                <w:noProof/>
                <w:sz w:val="16"/>
                <w:szCs w:val="16"/>
              </w:rPr>
              <w:t>, 2017; Booth, 2018)</w:t>
            </w:r>
            <w:r w:rsidRPr="004675D3">
              <w:rPr>
                <w:rFonts w:ascii="Arial" w:hAnsi="Arial" w:cs="Arial"/>
                <w:sz w:val="16"/>
                <w:szCs w:val="16"/>
              </w:rPr>
              <w:fldChar w:fldCharType="end"/>
            </w:r>
          </w:p>
        </w:tc>
      </w:tr>
    </w:tbl>
    <w:p w14:paraId="7DCCD618" w14:textId="77777777" w:rsidR="00A87596" w:rsidRPr="004675D3" w:rsidRDefault="00A87596" w:rsidP="000F667D">
      <w:pPr>
        <w:pStyle w:val="Emphasis1"/>
        <w:rPr>
          <w:rFonts w:cs="Arial"/>
        </w:rPr>
      </w:pPr>
    </w:p>
    <w:p w14:paraId="308BFD5C" w14:textId="762199D1" w:rsidR="009370CB" w:rsidRPr="004675D3" w:rsidRDefault="009370CB" w:rsidP="007F3B3C">
      <w:pPr>
        <w:rPr>
          <w:rFonts w:cs="Arial"/>
        </w:rPr>
      </w:pPr>
      <w:r w:rsidRPr="004675D3">
        <w:rPr>
          <w:rFonts w:ascii="Arial" w:hAnsi="Arial" w:cs="Arial"/>
        </w:rPr>
        <w:t>Considering the nature of climate policies, the options in each coded category are not mutually exclusive.</w:t>
      </w:r>
    </w:p>
    <w:p w14:paraId="058372DD" w14:textId="77777777" w:rsidR="009370CB" w:rsidRPr="004675D3" w:rsidRDefault="009370CB" w:rsidP="009370CB">
      <w:pPr>
        <w:pStyle w:val="Emphasis1"/>
        <w:rPr>
          <w:rFonts w:cs="Arial"/>
        </w:rPr>
      </w:pPr>
      <w:r w:rsidRPr="004675D3">
        <w:rPr>
          <w:rFonts w:cs="Arial"/>
        </w:rPr>
        <w:t>Mitigation Area</w:t>
      </w:r>
    </w:p>
    <w:p w14:paraId="1EDA43DB" w14:textId="77777777" w:rsidR="009370CB" w:rsidRPr="004675D3" w:rsidRDefault="009370CB" w:rsidP="009370CB">
      <w:pPr>
        <w:pStyle w:val="Emphasis3"/>
        <w:rPr>
          <w:rFonts w:cs="Arial"/>
        </w:rPr>
      </w:pPr>
      <w:r w:rsidRPr="004675D3">
        <w:rPr>
          <w:rFonts w:cs="Arial"/>
        </w:rPr>
        <w:t>Energy service demand reduction and resource efficiency</w:t>
      </w:r>
    </w:p>
    <w:p w14:paraId="3669EB8C" w14:textId="77777777" w:rsidR="009370CB" w:rsidRPr="004675D3" w:rsidRDefault="009370CB" w:rsidP="009370CB">
      <w:pPr>
        <w:rPr>
          <w:rFonts w:ascii="Arial" w:hAnsi="Arial" w:cs="Arial"/>
        </w:rPr>
      </w:pPr>
      <w:r w:rsidRPr="004675D3">
        <w:rPr>
          <w:rFonts w:ascii="Arial" w:hAnsi="Arial" w:cs="Arial"/>
        </w:rPr>
        <w:t>Policies that indirectly reduce energy demand by supporting activity changes (</w:t>
      </w:r>
      <w:proofErr w:type="gramStart"/>
      <w:r w:rsidRPr="004675D3">
        <w:rPr>
          <w:rFonts w:ascii="Arial" w:hAnsi="Arial" w:cs="Arial"/>
        </w:rPr>
        <w:t>e.g.</w:t>
      </w:r>
      <w:proofErr w:type="gramEnd"/>
      <w:r w:rsidRPr="004675D3">
        <w:rPr>
          <w:rFonts w:ascii="Arial" w:hAnsi="Arial" w:cs="Arial"/>
        </w:rPr>
        <w:t xml:space="preserve"> reducing material use in manufacturing industries or developing urban planning strategies to minimize transport needs). </w:t>
      </w:r>
    </w:p>
    <w:p w14:paraId="187E1C2C" w14:textId="77777777" w:rsidR="009370CB" w:rsidRPr="004675D3" w:rsidRDefault="009370CB" w:rsidP="009370CB">
      <w:pPr>
        <w:pStyle w:val="Emphasis3"/>
        <w:rPr>
          <w:rFonts w:cs="Arial"/>
        </w:rPr>
      </w:pPr>
      <w:r w:rsidRPr="004675D3">
        <w:rPr>
          <w:rFonts w:cs="Arial"/>
        </w:rPr>
        <w:t>Energy efficiency</w:t>
      </w:r>
    </w:p>
    <w:p w14:paraId="390B944F" w14:textId="77777777" w:rsidR="009370CB" w:rsidRPr="004675D3" w:rsidRDefault="009370CB" w:rsidP="009370CB">
      <w:pPr>
        <w:rPr>
          <w:rFonts w:ascii="Arial" w:hAnsi="Arial" w:cs="Arial"/>
        </w:rPr>
      </w:pPr>
      <w:r w:rsidRPr="004675D3">
        <w:rPr>
          <w:rFonts w:ascii="Arial" w:hAnsi="Arial" w:cs="Arial"/>
        </w:rPr>
        <w:t>Policies that reduce energy consumption in the different sectors. It includes both framing policies which a goal to reduce energy consumption, such as energy efficiency targets, as well as policy options that support energy reductions.</w:t>
      </w:r>
    </w:p>
    <w:p w14:paraId="0C4569C1" w14:textId="77777777" w:rsidR="009370CB" w:rsidRPr="004675D3" w:rsidRDefault="009370CB" w:rsidP="009370CB">
      <w:pPr>
        <w:pStyle w:val="Emphasis3"/>
        <w:rPr>
          <w:rFonts w:cs="Arial"/>
        </w:rPr>
      </w:pPr>
      <w:r w:rsidRPr="004675D3">
        <w:rPr>
          <w:rFonts w:cs="Arial"/>
        </w:rPr>
        <w:t>Renewables</w:t>
      </w:r>
    </w:p>
    <w:p w14:paraId="5DF6B66D" w14:textId="77777777" w:rsidR="009370CB" w:rsidRPr="004675D3" w:rsidRDefault="009370CB" w:rsidP="009370CB">
      <w:pPr>
        <w:rPr>
          <w:rFonts w:ascii="Arial" w:hAnsi="Arial" w:cs="Arial"/>
        </w:rPr>
      </w:pPr>
      <w:r w:rsidRPr="004675D3">
        <w:rPr>
          <w:rFonts w:ascii="Arial" w:hAnsi="Arial" w:cs="Arial"/>
        </w:rPr>
        <w:lastRenderedPageBreak/>
        <w:t xml:space="preserve">Policies that support the development of renewable technologies. This support might take a direct form, via subsidies or loans, or indirect </w:t>
      </w:r>
      <w:proofErr w:type="gramStart"/>
      <w:r w:rsidRPr="004675D3">
        <w:rPr>
          <w:rFonts w:ascii="Arial" w:hAnsi="Arial" w:cs="Arial"/>
        </w:rPr>
        <w:t>e.g.</w:t>
      </w:r>
      <w:proofErr w:type="gramEnd"/>
      <w:r w:rsidRPr="004675D3">
        <w:rPr>
          <w:rFonts w:ascii="Arial" w:hAnsi="Arial" w:cs="Arial"/>
        </w:rPr>
        <w:t xml:space="preserve"> by developing grid infrastructure technology, that support the integration of high share of variable electricity generation technologies.</w:t>
      </w:r>
    </w:p>
    <w:p w14:paraId="5CC15EF8" w14:textId="77777777" w:rsidR="009370CB" w:rsidRPr="004675D3" w:rsidRDefault="009370CB" w:rsidP="009370CB">
      <w:pPr>
        <w:pStyle w:val="Emphasis3"/>
        <w:rPr>
          <w:rFonts w:cs="Arial"/>
        </w:rPr>
      </w:pPr>
      <w:r w:rsidRPr="004675D3">
        <w:rPr>
          <w:rFonts w:cs="Arial"/>
        </w:rPr>
        <w:t>Other low-carbon technologies and fuel switch</w:t>
      </w:r>
    </w:p>
    <w:p w14:paraId="0165351A" w14:textId="77777777" w:rsidR="009370CB" w:rsidRPr="004675D3" w:rsidRDefault="009370CB" w:rsidP="009370CB">
      <w:pPr>
        <w:rPr>
          <w:rFonts w:ascii="Arial" w:hAnsi="Arial" w:cs="Arial"/>
        </w:rPr>
      </w:pPr>
      <w:r w:rsidRPr="004675D3">
        <w:rPr>
          <w:rFonts w:ascii="Arial" w:hAnsi="Arial" w:cs="Arial"/>
        </w:rPr>
        <w:t xml:space="preserve">Policies that tackle the uptake of non-renewable low-carbon technologies and options that impose limitations on the use of emissions-intensive technologies, </w:t>
      </w:r>
      <w:proofErr w:type="gramStart"/>
      <w:r w:rsidRPr="004675D3">
        <w:rPr>
          <w:rFonts w:ascii="Arial" w:hAnsi="Arial" w:cs="Arial"/>
        </w:rPr>
        <w:t>e.g.</w:t>
      </w:r>
      <w:proofErr w:type="gramEnd"/>
      <w:r w:rsidRPr="004675D3">
        <w:rPr>
          <w:rFonts w:ascii="Arial" w:hAnsi="Arial" w:cs="Arial"/>
        </w:rPr>
        <w:t xml:space="preserve"> coal- and oil-fuelled technologies. </w:t>
      </w:r>
    </w:p>
    <w:p w14:paraId="22B2D43B" w14:textId="77777777" w:rsidR="009370CB" w:rsidRPr="004675D3" w:rsidRDefault="009370CB" w:rsidP="009370CB">
      <w:pPr>
        <w:pStyle w:val="Emphasis3"/>
        <w:rPr>
          <w:rFonts w:cs="Arial"/>
        </w:rPr>
      </w:pPr>
      <w:r w:rsidRPr="004675D3">
        <w:rPr>
          <w:rFonts w:cs="Arial"/>
        </w:rPr>
        <w:t>Non-energy</w:t>
      </w:r>
    </w:p>
    <w:p w14:paraId="41848E3D" w14:textId="77777777" w:rsidR="009370CB" w:rsidRPr="004675D3" w:rsidRDefault="009370CB" w:rsidP="009370CB">
      <w:pPr>
        <w:rPr>
          <w:rFonts w:ascii="Arial" w:hAnsi="Arial" w:cs="Arial"/>
        </w:rPr>
      </w:pPr>
      <w:r w:rsidRPr="004675D3">
        <w:rPr>
          <w:rFonts w:ascii="Arial" w:hAnsi="Arial" w:cs="Arial"/>
        </w:rPr>
        <w:t>Policies that reduce non-energy related emissions. For example, policies to reduce fugitive emissions in fossil fuel production or process-related industrial emissions.</w:t>
      </w:r>
    </w:p>
    <w:p w14:paraId="15517EFC" w14:textId="77777777" w:rsidR="009370CB" w:rsidRPr="004675D3" w:rsidRDefault="009370CB" w:rsidP="009370CB">
      <w:pPr>
        <w:pStyle w:val="Emphasis3"/>
        <w:rPr>
          <w:rFonts w:cs="Arial"/>
        </w:rPr>
      </w:pPr>
      <w:r w:rsidRPr="004675D3">
        <w:rPr>
          <w:rFonts w:cs="Arial"/>
        </w:rPr>
        <w:t>Cross-area policy options</w:t>
      </w:r>
    </w:p>
    <w:p w14:paraId="728149FC" w14:textId="77777777" w:rsidR="009370CB" w:rsidRPr="004675D3" w:rsidRDefault="009370CB" w:rsidP="009370CB">
      <w:pPr>
        <w:rPr>
          <w:rFonts w:ascii="Arial" w:hAnsi="Arial" w:cs="Arial"/>
        </w:rPr>
      </w:pPr>
      <w:r w:rsidRPr="004675D3">
        <w:rPr>
          <w:rFonts w:ascii="Arial" w:hAnsi="Arial" w:cs="Arial"/>
        </w:rPr>
        <w:t xml:space="preserve">Some economic policy instruments target broad energy prices and are applicable across all sectors </w:t>
      </w:r>
      <w:r w:rsidRPr="004675D3">
        <w:rPr>
          <w:rFonts w:ascii="Arial" w:hAnsi="Arial" w:cs="Arial"/>
        </w:rPr>
        <w:fldChar w:fldCharType="begin" w:fldLock="1"/>
      </w:r>
      <w:r w:rsidRPr="004675D3">
        <w:rPr>
          <w:rFonts w:ascii="Arial" w:hAnsi="Arial" w:cs="Arial"/>
        </w:rPr>
        <w:instrText>ADDIN CSL_CITATION {"citationItems":[{"id":"ITEM-1","itemData":{"author":[{"dropping-particle":"","family":"Somanathan","given":"E.","non-dropping-particle":"","parse-names":false,"suffix":""},{"dropping-particle":"","family":"Sterner","given":"T.","non-dropping-particle":"","parse-names":false,"suffix":""},{"dropping-particle":"","family":"Sugiyama","given":"T.","non-dropping-particle":"","parse-names":false,"suffix":""},{"dropping-particle":"","family":"Chimanikire","given":"D.","non-dropping-particle":"","parse-names":false,"suffix":""},{"dropping-particle":"","family":"Dubash","given":"N. K.","non-dropping-particle":"","parse-names":false,"suffix":""},{"dropping-particle":"","family":"Essandoh-Yeddu","given":"J.","non-dropping-particle":"","parse-names":false,"suffix":""},{"dropping-particle":"","family":"S. Fifita","given":"L. Goulder","non-dropping-particle":"","parse-names":false,"suffix":""},{"dropping-particle":"","family":"Jaffe","given":"A.","non-dropping-particle":"","parse-names":false,"suffix":""},{"dropping-particle":"","family":"Labandeira","given":"X.","non-dropping-particle":"","parse-names":false,"suffix":""},{"dropping-particle":"","family":"Managi","given":"S.","non-dropping-particle":"","parse-names":false,"suffix":""},{"dropping-particle":"","family":"Mitchell","given":"C.","non-dropping-particle":"","parse-names":false,"suffix":""},{"dropping-particle":"","family":"Montero","given":"J. P.","non-dropping-particle":"","parse-names":false,"suffix":""},{"dropping-particle":"","family":"Teng","given":"F.","non-dropping-particle":"","parse-names":false,"suffix":""},{"dropping-particle":"","family":"Zylicz","given":"T.","non-dropping-particle":"","parse-names":false,"suffix":""}],"chapter-number":"15","container-title":"Climate Change 2014: Mitigation of Climate Change. Contribution of Working Group III to the Fifth Assessment Report of the Intergovernmental Panel on Climate Change","editor":[{"dropping-particle":"","family":"Edenhofer","given":"O.","non-dropping-particle":"","parse-names":false,"suffix":""},{"dropping-particle":"","family":"Pichs-Madruga","given":"R.","non-dropping-particle":"","parse-names":false,"suffix":""},{"dropping-particle":"","family":"Sokona","given":"Y.","non-dropping-particle":"","parse-names":false,"suffix":""},{"dropping-particle":"","family":"Farahani","given":"E.","non-dropping-particle":"","parse-names":false,"suffix":""},{"dropping-particle":"","family":"S.Kadner","given":"","non-dropping-particle":"","parse-names":false,"suffix":""},{"dropping-particle":"","family":"Seyboth","given":"K.","non-dropping-particle":"","parse-names":false,"suffix":""},{"dropping-particle":"","family":"Adler","given":"A.","non-dropping-particle":"","parse-names":false,"suffix":""},{"dropping-particle":"","family":"Baum","given":"I.","non-dropping-particle":"","parse-names":false,"suffix":""},{"dropping-particle":"","family":"Brunner","given":"S.","non-dropping-particle":"","parse-names":false,"suffix":""},{"dropping-particle":"","family":"Eickemeier","given":"P.","non-dropping-particle":"","parse-names":false,"suffix":""},{"dropping-particle":"","family":"Kriemann","given":"B.","non-dropping-particle":"","parse-names":false,"suffix":""},{"dropping-particle":"","family":"Savolainen","given":"J.","non-dropping-particle":"","parse-names":false,"suffix":""},{"dropping-particle":"","family":"Schlömer","given":"S.","non-dropping-particle":"","parse-names":false,"suffix":""},{"dropping-particle":"","family":"Stechow","given":"C.","non-dropping-particle":"von","parse-names":false,"suffix":""},{"dropping-particle":"","family":"Zwickel","given":"T.","non-dropping-particle":"","parse-names":false,"suffix":""},{"dropping-particle":"","family":"Minx","given":"J.C.","non-dropping-particle":"","parse-names":false,"suffix":""}],"id":"ITEM-1","issued":{"date-parts":[["2014"]]},"publisher":"Cambridge University Press","publisher-place":"Cambridge, United Kingdom and New York, NY, USA","title":"National and Sub-national Policies and Institutions","type":"report"},"uris":["http://www.mendeley.com/documents/?uuid=7e870f82-b225-4d10-acc6-0ed2d4bc80f5"]}],"mendeley":{"formattedCitation":"(Somanathan &lt;i&gt;et al.&lt;/i&gt;, 2014)","plainTextFormattedCitation":"(Somanathan et al., 2014)","previouslyFormattedCitation":"(Somanathan &lt;i&gt;et al.&lt;/i&gt;, 2014)"},"properties":{"noteIndex":0},"schema":"https://github.com/citation-style-language/schema/raw/master/csl-citation.json"}</w:instrText>
      </w:r>
      <w:r w:rsidRPr="004675D3">
        <w:rPr>
          <w:rFonts w:ascii="Arial" w:hAnsi="Arial" w:cs="Arial"/>
        </w:rPr>
        <w:fldChar w:fldCharType="separate"/>
      </w:r>
      <w:r w:rsidRPr="004675D3">
        <w:rPr>
          <w:rFonts w:ascii="Arial" w:hAnsi="Arial" w:cs="Arial"/>
          <w:noProof/>
        </w:rPr>
        <w:t xml:space="preserve">(Somanathan </w:t>
      </w:r>
      <w:r w:rsidRPr="004675D3">
        <w:rPr>
          <w:rFonts w:ascii="Arial" w:hAnsi="Arial" w:cs="Arial"/>
          <w:i/>
          <w:noProof/>
        </w:rPr>
        <w:t>et al.</w:t>
      </w:r>
      <w:r w:rsidRPr="004675D3">
        <w:rPr>
          <w:rFonts w:ascii="Arial" w:hAnsi="Arial" w:cs="Arial"/>
          <w:noProof/>
        </w:rPr>
        <w:t>, 2014)</w:t>
      </w:r>
      <w:r w:rsidRPr="004675D3">
        <w:rPr>
          <w:rFonts w:ascii="Arial" w:hAnsi="Arial" w:cs="Arial"/>
        </w:rPr>
        <w:fldChar w:fldCharType="end"/>
      </w:r>
      <w:r w:rsidRPr="004675D3">
        <w:rPr>
          <w:rFonts w:ascii="Arial" w:hAnsi="Arial" w:cs="Arial"/>
        </w:rPr>
        <w:t xml:space="preserve">. Some examples of such instruments include energy and carbon taxes, cap-and-trade emission trading schemes, tradable energy saving certificates, and removal of fossil fuel subsidies. </w:t>
      </w:r>
    </w:p>
    <w:p w14:paraId="65002A7A" w14:textId="77777777" w:rsidR="009370CB" w:rsidRPr="004675D3" w:rsidRDefault="009370CB" w:rsidP="009370CB">
      <w:pPr>
        <w:pStyle w:val="Emphasis1"/>
        <w:rPr>
          <w:rFonts w:cs="Arial"/>
        </w:rPr>
      </w:pPr>
      <w:r w:rsidRPr="004675D3">
        <w:rPr>
          <w:rFonts w:cs="Arial"/>
        </w:rPr>
        <w:t>Policy instruments</w:t>
      </w:r>
    </w:p>
    <w:p w14:paraId="526A73BE" w14:textId="0216DAD8" w:rsidR="009370CB" w:rsidRPr="004675D3" w:rsidRDefault="009370CB" w:rsidP="009370CB">
      <w:pPr>
        <w:rPr>
          <w:rFonts w:ascii="Arial" w:hAnsi="Arial" w:cs="Arial"/>
          <w:szCs w:val="18"/>
        </w:rPr>
      </w:pPr>
      <w:r w:rsidRPr="004675D3">
        <w:rPr>
          <w:rFonts w:ascii="Arial" w:hAnsi="Arial" w:cs="Arial"/>
        </w:rPr>
        <w:t xml:space="preserve">The policy instruments typology was developed based on the </w:t>
      </w:r>
      <w:hyperlink r:id="rId51" w:history="1">
        <w:r w:rsidRPr="004675D3">
          <w:rPr>
            <w:rStyle w:val="Hyperlink"/>
            <w:rFonts w:ascii="Arial" w:hAnsi="Arial" w:cs="Arial"/>
          </w:rPr>
          <w:t>IEA policies database</w:t>
        </w:r>
      </w:hyperlink>
      <w:r w:rsidRPr="004675D3">
        <w:rPr>
          <w:rFonts w:ascii="Arial" w:hAnsi="Arial" w:cs="Arial"/>
        </w:rPr>
        <w:t xml:space="preserve">, to which a set of new categories were added. The database includes all policy instruments in </w:t>
      </w:r>
      <w:r w:rsidRPr="004675D3">
        <w:rPr>
          <w:rFonts w:ascii="Arial" w:hAnsi="Arial" w:cs="Arial"/>
        </w:rPr>
        <w:fldChar w:fldCharType="begin"/>
      </w:r>
      <w:r w:rsidRPr="004675D3">
        <w:rPr>
          <w:rFonts w:ascii="Arial" w:hAnsi="Arial" w:cs="Arial"/>
        </w:rPr>
        <w:instrText xml:space="preserve"> REF _Ref36630286 \h  \* MERGEFORMAT </w:instrText>
      </w:r>
      <w:r w:rsidRPr="004675D3">
        <w:rPr>
          <w:rFonts w:ascii="Arial" w:hAnsi="Arial" w:cs="Arial"/>
        </w:rPr>
      </w:r>
      <w:r w:rsidRPr="004675D3">
        <w:rPr>
          <w:rFonts w:ascii="Arial" w:hAnsi="Arial" w:cs="Arial"/>
        </w:rPr>
        <w:fldChar w:fldCharType="separate"/>
      </w:r>
      <w:r w:rsidR="007F3B3C" w:rsidRPr="004675D3">
        <w:rPr>
          <w:rFonts w:ascii="Arial" w:hAnsi="Arial" w:cs="Arial"/>
        </w:rPr>
        <w:t xml:space="preserve">Table </w:t>
      </w:r>
      <w:r w:rsidR="007F3B3C">
        <w:rPr>
          <w:rFonts w:ascii="Arial" w:hAnsi="Arial" w:cs="Arial"/>
          <w:noProof/>
        </w:rPr>
        <w:t>7</w:t>
      </w:r>
      <w:r w:rsidRPr="004675D3">
        <w:rPr>
          <w:rFonts w:ascii="Arial" w:hAnsi="Arial" w:cs="Arial"/>
        </w:rPr>
        <w:fldChar w:fldCharType="end"/>
      </w:r>
      <w:r w:rsidRPr="004675D3">
        <w:rPr>
          <w:rFonts w:ascii="Arial" w:hAnsi="Arial" w:cs="Arial"/>
        </w:rPr>
        <w:t xml:space="preserve">. The definition of subsides and taxes, and the information available per country, varies. Others have estimated subsidies and taxes using consistent methodologies without always providing policy details </w:t>
      </w:r>
      <w:r w:rsidRPr="004675D3">
        <w:rPr>
          <w:rFonts w:ascii="Arial" w:hAnsi="Arial" w:cs="Arial"/>
        </w:rPr>
        <w:fldChar w:fldCharType="begin" w:fldLock="1"/>
      </w:r>
      <w:r w:rsidRPr="004675D3">
        <w:rPr>
          <w:rFonts w:ascii="Arial" w:hAnsi="Arial" w:cs="Arial"/>
        </w:rPr>
        <w:instrText>ADDIN CSL_CITATION {"citationItems":[{"id":"ITEM-1","itemData":{"DOI":"https://doi.org/https://doi.org/10.1787/058ca239-en","author":[{"dropping-particle":"","family":"OECD","given":"","non-dropping-particle":"","parse-names":false,"suffix":""}],"id":"ITEM-1","issued":{"date-parts":[["2019"]]},"number-of-pages":"105","title":"Taxing Energy Use 2019","type":"book"},"uris":["http://www.mendeley.com/documents/?uuid=43a39dc6-7538-458a-b59a-93bbf2dca45a"]},{"id":"ITEM-2","itemData":{"DOI":"10.1596/978-1-4648-0268-3","ISBN":"9781464815867","abstract":"State and Trends of Carbon Pricing","author":[{"dropping-particle":"","family":"World Bank Group","given":"","non-dropping-particle":"","parse-names":false,"suffix":""}],"id":"ITEM-2","issued":{"date-parts":[["2020"]]},"publisher":"World Bank Group","publisher-place":"Washington D.C","title":"State and Trends of Carbon Pricing 2020","type":"report"},"uris":["http://www.mendeley.com/documents/?uuid=807493e2-d9fb-4aaf-a2ce-e3cc55928f85"]},{"id":"ITEM-3","itemData":{"author":[{"dropping-particle":"","family":"Climate Transparency","given":"","non-dropping-particle":"","parse-names":false,"suffix":""}],"id":"ITEM-3","issued":{"date-parts":[["2019"]]},"publisher":"Climate Transparency","publisher-place":"Berlin, Germany","title":"Brown to Green: The G20 transition towards a net-zero emissions economy","type":"report"},"uris":["http://www.mendeley.com/documents/?uuid=faa55328-a953-4e1a-a31e-9ce7f2ae9782"]},{"id":"ITEM-4","itemData":{"author":[{"dropping-particle":"","family":"OECD/IEA","given":"","non-dropping-particle":"","parse-names":false,"suffix":""}],"id":"ITEM-4","issue":"April","issued":{"date-parts":[["2019"]]},"number-of-pages":"18-19","title":"Update on Recent Progress In Reform of Inefficient Fossil Fuel Subsidies That Encourage Wasteful Consumption","type":"report"},"uris":["http://www.mendeley.com/documents/?uuid=6ed57c90-f1cb-4b9a-8679-47b764bd5a07"]},{"id":"ITEM-5","itemData":{"abstract":"This paper updates estimates of fossil fuel subsidies, defined as fuel consumption times the gap between existing and efficient prices (i.e., prices warranted by supply costs, environmental costs, and revenue considerations), for 191 countries. Globally, subsidies remained large at $4.7 trillion (6.3 percent of global GDP) in 2015 and are projected at $5.2 trillion (6.5 percent of GDP) in 2017. The largest subsidizers in 2015 were China ($1.4 trillion), United States ($649 billion), Russia ($551 billion), European Union ($289 billion), and India ($209 billion). About three quarters of global subsidies are due to domestic factors—energy pricing reform thus remains largely in countries’ own national interest—while coal and petroleum together account for 85 percent of global subsidies. Efficient fossil fuel pricing in 2015 would have lowered global carbon emissions by 28 percent and fossil fuel air pollution deaths by 46 percent, and increased government revenue by 3.8 percent of GDP.","author":[{"dropping-particle":"","family":"IMF","given":"","non-dropping-particle":"","parse-names":false,"suffix":""}],"id":"ITEM-5","issued":{"date-parts":[["2019"]]},"publisher-place":"Washington, D.C., United States","title":"Global Fossil Fuel Subsidies Remain Large: An Update Based on Country-Level Estimates","type":"report"},"uris":["http://www.mendeley.com/documents/?uuid=6ef9e443-5e8a-4265-9ef7-efa1ab77a96c"]}],"mendeley":{"formattedCitation":"(Climate Transparency, 2019; IMF, 2019; OECD, 2019; OECD/IEA, 2019; World Bank Group, 2020)","plainTextFormattedCitation":"(Climate Transparency, 2019; IMF, 2019; OECD, 2019; OECD/IEA, 2019; World Bank Group, 2020)","previouslyFormattedCitation":"(Climate Transparency, 2019; IMF, 2019; OECD, 2019; OECD/IEA, 2019; World Bank Group, 2020)"},"properties":{"noteIndex":0},"schema":"https://github.com/citation-style-language/schema/raw/master/csl-citation.json"}</w:instrText>
      </w:r>
      <w:r w:rsidRPr="004675D3">
        <w:rPr>
          <w:rFonts w:ascii="Arial" w:hAnsi="Arial" w:cs="Arial"/>
        </w:rPr>
        <w:fldChar w:fldCharType="separate"/>
      </w:r>
      <w:r w:rsidRPr="004675D3">
        <w:rPr>
          <w:rFonts w:ascii="Arial" w:hAnsi="Arial" w:cs="Arial"/>
          <w:noProof/>
        </w:rPr>
        <w:t>(Climate Transparency, 2019; IMF, 2019; OECD, 2019; OECD/IEA, 2019; World Bank Group, 2020)</w:t>
      </w:r>
      <w:r w:rsidRPr="004675D3">
        <w:rPr>
          <w:rFonts w:ascii="Arial" w:hAnsi="Arial" w:cs="Arial"/>
        </w:rPr>
        <w:fldChar w:fldCharType="end"/>
      </w:r>
      <w:r w:rsidRPr="004675D3">
        <w:rPr>
          <w:rFonts w:ascii="Arial" w:hAnsi="Arial" w:cs="Arial"/>
        </w:rPr>
        <w:t xml:space="preserve">. We rely on their data to analyse these instruments. </w:t>
      </w:r>
    </w:p>
    <w:p w14:paraId="381C7F53" w14:textId="77777777" w:rsidR="009370CB" w:rsidRPr="004675D3" w:rsidRDefault="009370CB" w:rsidP="009370CB">
      <w:pPr>
        <w:rPr>
          <w:rFonts w:ascii="Arial" w:hAnsi="Arial" w:cs="Arial"/>
        </w:rPr>
      </w:pPr>
      <w:r w:rsidRPr="004675D3">
        <w:rPr>
          <w:rFonts w:ascii="Arial" w:hAnsi="Arial" w:cs="Arial"/>
        </w:rPr>
        <w:t>The main policy instrument types in our analysis are summarized below:</w:t>
      </w:r>
    </w:p>
    <w:p w14:paraId="384D6294" w14:textId="77777777" w:rsidR="009370CB" w:rsidRPr="004675D3" w:rsidRDefault="009370CB" w:rsidP="009370CB">
      <w:pPr>
        <w:pStyle w:val="ListParagraph"/>
        <w:numPr>
          <w:ilvl w:val="0"/>
          <w:numId w:val="45"/>
        </w:numPr>
        <w:rPr>
          <w:rFonts w:ascii="Arial" w:hAnsi="Arial" w:cs="Arial"/>
        </w:rPr>
      </w:pPr>
      <w:r w:rsidRPr="004675D3">
        <w:rPr>
          <w:rFonts w:ascii="Arial" w:hAnsi="Arial" w:cs="Arial"/>
          <w:b/>
          <w:bCs/>
        </w:rPr>
        <w:t>Economic instruments</w:t>
      </w:r>
      <w:r w:rsidRPr="004675D3">
        <w:rPr>
          <w:rFonts w:ascii="Arial" w:hAnsi="Arial" w:cs="Arial"/>
        </w:rPr>
        <w:t xml:space="preserve">: </w:t>
      </w:r>
      <w:r w:rsidRPr="004675D3">
        <w:rPr>
          <w:rFonts w:ascii="Arial" w:hAnsi="Arial" w:cs="Arial"/>
          <w:noProof/>
        </w:rPr>
        <w:t>Support certain technologies, activities, behaviours or investments using financial supports and price signals to influence the market. Due to the diversity of economic instruments we further divide this category into:</w:t>
      </w:r>
    </w:p>
    <w:p w14:paraId="0BCB8FED" w14:textId="77777777" w:rsidR="009370CB" w:rsidRPr="004675D3" w:rsidRDefault="009370CB" w:rsidP="009370CB">
      <w:pPr>
        <w:pStyle w:val="ListParagraph"/>
        <w:numPr>
          <w:ilvl w:val="1"/>
          <w:numId w:val="45"/>
        </w:numPr>
        <w:rPr>
          <w:rFonts w:ascii="Arial" w:hAnsi="Arial" w:cs="Arial"/>
          <w:i/>
          <w:iCs/>
        </w:rPr>
      </w:pPr>
      <w:r w:rsidRPr="004675D3">
        <w:rPr>
          <w:rFonts w:ascii="Arial" w:hAnsi="Arial" w:cs="Arial"/>
          <w:i/>
          <w:iCs/>
        </w:rPr>
        <w:t>Direct investments</w:t>
      </w:r>
    </w:p>
    <w:p w14:paraId="1B5D2781" w14:textId="77777777" w:rsidR="009370CB" w:rsidRPr="004675D3" w:rsidRDefault="009370CB" w:rsidP="009370CB">
      <w:pPr>
        <w:pStyle w:val="ListParagraph"/>
        <w:numPr>
          <w:ilvl w:val="1"/>
          <w:numId w:val="45"/>
        </w:numPr>
        <w:rPr>
          <w:rFonts w:ascii="Arial" w:hAnsi="Arial" w:cs="Arial"/>
          <w:i/>
          <w:iCs/>
        </w:rPr>
      </w:pPr>
      <w:r w:rsidRPr="004675D3">
        <w:rPr>
          <w:rFonts w:ascii="Arial" w:hAnsi="Arial" w:cs="Arial"/>
          <w:i/>
          <w:iCs/>
        </w:rPr>
        <w:t>Fiscal or financial incentives</w:t>
      </w:r>
    </w:p>
    <w:p w14:paraId="5FC14060" w14:textId="77777777" w:rsidR="009370CB" w:rsidRPr="004675D3" w:rsidRDefault="009370CB" w:rsidP="009370CB">
      <w:pPr>
        <w:pStyle w:val="ListParagraph"/>
        <w:numPr>
          <w:ilvl w:val="1"/>
          <w:numId w:val="45"/>
        </w:numPr>
        <w:rPr>
          <w:rFonts w:ascii="Arial" w:hAnsi="Arial" w:cs="Arial"/>
          <w:i/>
          <w:iCs/>
        </w:rPr>
      </w:pPr>
      <w:r w:rsidRPr="004675D3">
        <w:rPr>
          <w:rFonts w:ascii="Arial" w:hAnsi="Arial" w:cs="Arial"/>
          <w:i/>
          <w:iCs/>
        </w:rPr>
        <w:t>Market-based instruments</w:t>
      </w:r>
    </w:p>
    <w:p w14:paraId="13CF8BC7" w14:textId="77777777" w:rsidR="009370CB" w:rsidRPr="004675D3" w:rsidRDefault="009370CB" w:rsidP="009370CB">
      <w:pPr>
        <w:pStyle w:val="ListParagraph"/>
        <w:rPr>
          <w:rFonts w:ascii="Arial" w:hAnsi="Arial" w:cs="Arial"/>
          <w:b/>
          <w:bCs/>
        </w:rPr>
      </w:pPr>
    </w:p>
    <w:p w14:paraId="1C321029" w14:textId="605A179F" w:rsidR="009370CB" w:rsidRPr="004675D3" w:rsidRDefault="009370CB" w:rsidP="009370CB">
      <w:pPr>
        <w:pStyle w:val="ListParagraph"/>
        <w:numPr>
          <w:ilvl w:val="0"/>
          <w:numId w:val="45"/>
        </w:numPr>
        <w:rPr>
          <w:rFonts w:ascii="Arial" w:hAnsi="Arial" w:cs="Arial"/>
          <w:b/>
          <w:bCs/>
        </w:rPr>
      </w:pPr>
      <w:r w:rsidRPr="004675D3">
        <w:rPr>
          <w:rFonts w:ascii="Arial" w:hAnsi="Arial" w:cs="Arial"/>
          <w:b/>
          <w:bCs/>
        </w:rPr>
        <w:t xml:space="preserve">Regulatory instruments: </w:t>
      </w:r>
      <w:r w:rsidRPr="004675D3">
        <w:rPr>
          <w:rFonts w:ascii="Arial" w:hAnsi="Arial" w:cs="Arial"/>
          <w:noProof/>
        </w:rPr>
        <w:t xml:space="preserve">Cover a wide range of instruments which impose targets, obligations and standards on actors or technologies. These include, for example, performance standards for appliances, equipment, and buildings. </w:t>
      </w:r>
    </w:p>
    <w:p w14:paraId="47A2B795" w14:textId="77777777" w:rsidR="009370CB" w:rsidRPr="004675D3" w:rsidRDefault="009370CB" w:rsidP="009370CB">
      <w:pPr>
        <w:pStyle w:val="ListParagraph"/>
        <w:rPr>
          <w:rFonts w:ascii="Arial" w:hAnsi="Arial" w:cs="Arial"/>
          <w:b/>
          <w:bCs/>
        </w:rPr>
      </w:pPr>
    </w:p>
    <w:p w14:paraId="48699BEE" w14:textId="3F9EC24B" w:rsidR="009370CB" w:rsidRPr="004675D3" w:rsidRDefault="009370CB" w:rsidP="009370CB">
      <w:pPr>
        <w:pStyle w:val="ListParagraph"/>
        <w:numPr>
          <w:ilvl w:val="0"/>
          <w:numId w:val="45"/>
        </w:numPr>
        <w:rPr>
          <w:rFonts w:ascii="Arial" w:hAnsi="Arial" w:cs="Arial"/>
        </w:rPr>
      </w:pPr>
      <w:r w:rsidRPr="004675D3">
        <w:rPr>
          <w:rFonts w:ascii="Arial" w:hAnsi="Arial" w:cs="Arial"/>
          <w:b/>
          <w:bCs/>
        </w:rPr>
        <w:t>Other approaches</w:t>
      </w:r>
      <w:r w:rsidRPr="004675D3">
        <w:rPr>
          <w:rFonts w:ascii="Arial" w:hAnsi="Arial" w:cs="Arial"/>
        </w:rPr>
        <w:t xml:space="preserve">: Include several policy instruments that support policy adoption, such as RD&amp;D support and overarching target and strategies. Voluntary approaches </w:t>
      </w:r>
      <w:r w:rsidRPr="004675D3">
        <w:rPr>
          <w:rFonts w:ascii="Arial" w:hAnsi="Arial" w:cs="Arial"/>
          <w:noProof/>
        </w:rPr>
        <w:t>refer to measures undertaken voluntarily or negotiated among actors. These commitments can also be initiatted by public actors who invite private actors to submit commitments. Negotiated agreements may require reporting and be subject to audits.</w:t>
      </w:r>
    </w:p>
    <w:p w14:paraId="168FDA45" w14:textId="408EEABB" w:rsidR="009370CB" w:rsidRPr="004675D3" w:rsidRDefault="009370CB" w:rsidP="009370CB">
      <w:pPr>
        <w:pStyle w:val="Caption"/>
        <w:keepNext/>
        <w:rPr>
          <w:rFonts w:ascii="Arial" w:hAnsi="Arial" w:cs="Arial"/>
        </w:rPr>
      </w:pPr>
      <w:bookmarkStart w:id="17" w:name="_Ref36630286"/>
      <w:bookmarkStart w:id="18" w:name="_Toc76122089"/>
      <w:r w:rsidRPr="004675D3">
        <w:rPr>
          <w:rFonts w:ascii="Arial" w:hAnsi="Arial" w:cs="Arial"/>
        </w:rPr>
        <w:t xml:space="preserve">Table </w:t>
      </w:r>
      <w:r w:rsidRPr="004675D3">
        <w:rPr>
          <w:rFonts w:ascii="Arial" w:hAnsi="Arial" w:cs="Arial"/>
        </w:rPr>
        <w:fldChar w:fldCharType="begin"/>
      </w:r>
      <w:r w:rsidRPr="004675D3">
        <w:rPr>
          <w:rFonts w:ascii="Arial" w:hAnsi="Arial" w:cs="Arial"/>
        </w:rPr>
        <w:instrText xml:space="preserve"> SEQ Table \* ARABIC </w:instrText>
      </w:r>
      <w:r w:rsidRPr="004675D3">
        <w:rPr>
          <w:rFonts w:ascii="Arial" w:hAnsi="Arial" w:cs="Arial"/>
        </w:rPr>
        <w:fldChar w:fldCharType="separate"/>
      </w:r>
      <w:r w:rsidR="007F3B3C">
        <w:rPr>
          <w:rFonts w:ascii="Arial" w:hAnsi="Arial" w:cs="Arial"/>
          <w:noProof/>
        </w:rPr>
        <w:t>7</w:t>
      </w:r>
      <w:r w:rsidRPr="004675D3">
        <w:rPr>
          <w:rFonts w:ascii="Arial" w:hAnsi="Arial" w:cs="Arial"/>
        </w:rPr>
        <w:fldChar w:fldCharType="end"/>
      </w:r>
      <w:bookmarkEnd w:id="17"/>
      <w:r w:rsidRPr="004675D3">
        <w:rPr>
          <w:rFonts w:ascii="Arial" w:hAnsi="Arial" w:cs="Arial"/>
        </w:rPr>
        <w:t xml:space="preserve"> Policy instruments in the database</w:t>
      </w:r>
      <w:bookmarkEnd w:id="18"/>
    </w:p>
    <w:tbl>
      <w:tblPr>
        <w:tblStyle w:val="GridTable1Light-Accent3"/>
        <w:tblW w:w="5000" w:type="pct"/>
        <w:tblLook w:val="04A0" w:firstRow="1" w:lastRow="0" w:firstColumn="1" w:lastColumn="0" w:noHBand="0" w:noVBand="1"/>
      </w:tblPr>
      <w:tblGrid>
        <w:gridCol w:w="1265"/>
        <w:gridCol w:w="3950"/>
        <w:gridCol w:w="3801"/>
      </w:tblGrid>
      <w:tr w:rsidR="009370CB" w:rsidRPr="004675D3" w14:paraId="1A5208F5" w14:textId="77777777" w:rsidTr="005B56DC">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701" w:type="pct"/>
            <w:vAlign w:val="center"/>
          </w:tcPr>
          <w:p w14:paraId="27B5569E" w14:textId="77777777" w:rsidR="009370CB" w:rsidRPr="004675D3" w:rsidRDefault="009370CB" w:rsidP="005B56DC">
            <w:pPr>
              <w:jc w:val="left"/>
              <w:rPr>
                <w:rFonts w:ascii="Arial" w:hAnsi="Arial" w:cs="Arial"/>
                <w:sz w:val="16"/>
                <w:szCs w:val="16"/>
              </w:rPr>
            </w:pPr>
            <w:r w:rsidRPr="004675D3">
              <w:rPr>
                <w:rFonts w:ascii="Arial" w:hAnsi="Arial" w:cs="Arial"/>
                <w:sz w:val="16"/>
                <w:szCs w:val="16"/>
              </w:rPr>
              <w:t>Category</w:t>
            </w:r>
          </w:p>
        </w:tc>
        <w:tc>
          <w:tcPr>
            <w:tcW w:w="2190" w:type="pct"/>
            <w:vAlign w:val="center"/>
          </w:tcPr>
          <w:p w14:paraId="72C8C529" w14:textId="77777777" w:rsidR="009370CB" w:rsidRPr="004675D3" w:rsidRDefault="009370CB" w:rsidP="005B56DC">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Sub-category</w:t>
            </w:r>
          </w:p>
        </w:tc>
        <w:tc>
          <w:tcPr>
            <w:tcW w:w="2108" w:type="pct"/>
            <w:vAlign w:val="center"/>
          </w:tcPr>
          <w:p w14:paraId="1B40A6F7" w14:textId="77777777" w:rsidR="009370CB" w:rsidRPr="004675D3" w:rsidRDefault="009370CB" w:rsidP="005B56DC">
            <w:pPr>
              <w:jc w:val="left"/>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Policy instrument</w:t>
            </w:r>
          </w:p>
        </w:tc>
      </w:tr>
      <w:tr w:rsidR="009370CB" w:rsidRPr="004675D3" w14:paraId="21ECF26B"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restart"/>
            <w:vAlign w:val="center"/>
          </w:tcPr>
          <w:p w14:paraId="582E4D75" w14:textId="77777777" w:rsidR="009370CB" w:rsidRPr="004675D3" w:rsidRDefault="009370CB" w:rsidP="005B56DC">
            <w:pPr>
              <w:jc w:val="left"/>
              <w:rPr>
                <w:rFonts w:ascii="Arial" w:hAnsi="Arial" w:cs="Arial"/>
                <w:sz w:val="16"/>
                <w:szCs w:val="16"/>
              </w:rPr>
            </w:pPr>
            <w:r w:rsidRPr="004675D3">
              <w:rPr>
                <w:rFonts w:ascii="Arial" w:hAnsi="Arial" w:cs="Arial"/>
                <w:sz w:val="16"/>
                <w:szCs w:val="16"/>
              </w:rPr>
              <w:t>Economic instruments</w:t>
            </w:r>
          </w:p>
        </w:tc>
        <w:tc>
          <w:tcPr>
            <w:tcW w:w="2190" w:type="pct"/>
            <w:vMerge w:val="restart"/>
            <w:vAlign w:val="center"/>
          </w:tcPr>
          <w:p w14:paraId="035E7306"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Direct investment</w:t>
            </w:r>
          </w:p>
        </w:tc>
        <w:tc>
          <w:tcPr>
            <w:tcW w:w="2108" w:type="pct"/>
            <w:vAlign w:val="center"/>
          </w:tcPr>
          <w:p w14:paraId="596F67C6"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Funds to sub-national governments</w:t>
            </w:r>
          </w:p>
        </w:tc>
      </w:tr>
      <w:tr w:rsidR="009370CB" w:rsidRPr="004675D3" w14:paraId="2C96A4A6"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1A1CC465" w14:textId="77777777" w:rsidR="009370CB" w:rsidRPr="004675D3" w:rsidRDefault="009370CB" w:rsidP="005B56DC">
            <w:pPr>
              <w:jc w:val="left"/>
              <w:rPr>
                <w:rFonts w:ascii="Arial" w:hAnsi="Arial" w:cs="Arial"/>
                <w:sz w:val="16"/>
                <w:szCs w:val="16"/>
              </w:rPr>
            </w:pPr>
          </w:p>
        </w:tc>
        <w:tc>
          <w:tcPr>
            <w:tcW w:w="2190" w:type="pct"/>
            <w:vMerge/>
            <w:vAlign w:val="center"/>
          </w:tcPr>
          <w:p w14:paraId="5CA72225"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12D5BBE9"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Infrastructure investments</w:t>
            </w:r>
          </w:p>
        </w:tc>
      </w:tr>
      <w:tr w:rsidR="009370CB" w:rsidRPr="004675D3" w14:paraId="56AD27DF"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2A374754" w14:textId="77777777" w:rsidR="009370CB" w:rsidRPr="004675D3" w:rsidRDefault="009370CB" w:rsidP="005B56DC">
            <w:pPr>
              <w:jc w:val="left"/>
              <w:rPr>
                <w:rFonts w:ascii="Arial" w:hAnsi="Arial" w:cs="Arial"/>
                <w:sz w:val="16"/>
                <w:szCs w:val="16"/>
              </w:rPr>
            </w:pPr>
          </w:p>
        </w:tc>
        <w:tc>
          <w:tcPr>
            <w:tcW w:w="2190" w:type="pct"/>
            <w:vMerge/>
            <w:vAlign w:val="center"/>
          </w:tcPr>
          <w:p w14:paraId="25B81EE2"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238594E0"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Procurement rules</w:t>
            </w:r>
          </w:p>
        </w:tc>
      </w:tr>
      <w:tr w:rsidR="009370CB" w:rsidRPr="004675D3" w14:paraId="32848971"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4BDF6F53" w14:textId="77777777" w:rsidR="009370CB" w:rsidRPr="004675D3" w:rsidRDefault="009370CB" w:rsidP="005B56DC">
            <w:pPr>
              <w:jc w:val="left"/>
              <w:rPr>
                <w:rFonts w:ascii="Arial" w:hAnsi="Arial" w:cs="Arial"/>
                <w:sz w:val="16"/>
                <w:szCs w:val="16"/>
              </w:rPr>
            </w:pPr>
          </w:p>
        </w:tc>
        <w:tc>
          <w:tcPr>
            <w:tcW w:w="2190" w:type="pct"/>
            <w:vMerge/>
            <w:vAlign w:val="center"/>
          </w:tcPr>
          <w:p w14:paraId="55BEB0C5"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0F906BCE"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RD&amp;D funding</w:t>
            </w:r>
          </w:p>
        </w:tc>
      </w:tr>
      <w:tr w:rsidR="009370CB" w:rsidRPr="004675D3" w14:paraId="505AE5D4"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21997218" w14:textId="77777777" w:rsidR="009370CB" w:rsidRPr="004675D3" w:rsidRDefault="009370CB" w:rsidP="005B56DC">
            <w:pPr>
              <w:jc w:val="left"/>
              <w:rPr>
                <w:rFonts w:ascii="Arial" w:hAnsi="Arial" w:cs="Arial"/>
                <w:sz w:val="16"/>
                <w:szCs w:val="16"/>
              </w:rPr>
            </w:pPr>
          </w:p>
        </w:tc>
        <w:tc>
          <w:tcPr>
            <w:tcW w:w="2190" w:type="pct"/>
            <w:vMerge w:val="restart"/>
            <w:vAlign w:val="center"/>
          </w:tcPr>
          <w:p w14:paraId="16BAC57C"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Fiscal or financial incentives</w:t>
            </w:r>
          </w:p>
        </w:tc>
        <w:tc>
          <w:tcPr>
            <w:tcW w:w="2108" w:type="pct"/>
            <w:vAlign w:val="center"/>
          </w:tcPr>
          <w:p w14:paraId="1636D375"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CO</w:t>
            </w:r>
            <w:r w:rsidRPr="004675D3">
              <w:rPr>
                <w:rFonts w:ascii="Arial" w:hAnsi="Arial" w:cs="Arial"/>
                <w:b/>
                <w:sz w:val="16"/>
                <w:szCs w:val="16"/>
                <w:vertAlign w:val="subscript"/>
              </w:rPr>
              <w:t>2</w:t>
            </w:r>
            <w:r w:rsidRPr="004675D3">
              <w:rPr>
                <w:rFonts w:ascii="Arial" w:hAnsi="Arial" w:cs="Arial"/>
                <w:b/>
                <w:sz w:val="16"/>
                <w:szCs w:val="16"/>
              </w:rPr>
              <w:t xml:space="preserve"> taxes</w:t>
            </w:r>
          </w:p>
        </w:tc>
      </w:tr>
      <w:tr w:rsidR="009370CB" w:rsidRPr="004675D3" w14:paraId="2C9A92A4"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4A2FC3F1" w14:textId="77777777" w:rsidR="009370CB" w:rsidRPr="004675D3" w:rsidRDefault="009370CB" w:rsidP="005B56DC">
            <w:pPr>
              <w:jc w:val="left"/>
              <w:rPr>
                <w:rFonts w:ascii="Arial" w:hAnsi="Arial" w:cs="Arial"/>
                <w:sz w:val="16"/>
                <w:szCs w:val="16"/>
              </w:rPr>
            </w:pPr>
          </w:p>
        </w:tc>
        <w:tc>
          <w:tcPr>
            <w:tcW w:w="2190" w:type="pct"/>
            <w:vMerge/>
            <w:vAlign w:val="center"/>
          </w:tcPr>
          <w:p w14:paraId="257CCACC"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3F7CAA35"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Energy and other taxes</w:t>
            </w:r>
          </w:p>
        </w:tc>
      </w:tr>
      <w:tr w:rsidR="009370CB" w:rsidRPr="004675D3" w14:paraId="12C4689A"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40F859D2" w14:textId="77777777" w:rsidR="009370CB" w:rsidRPr="004675D3" w:rsidRDefault="009370CB" w:rsidP="005B56DC">
            <w:pPr>
              <w:jc w:val="left"/>
              <w:rPr>
                <w:rFonts w:ascii="Arial" w:hAnsi="Arial" w:cs="Arial"/>
                <w:sz w:val="16"/>
                <w:szCs w:val="16"/>
              </w:rPr>
            </w:pPr>
          </w:p>
        </w:tc>
        <w:tc>
          <w:tcPr>
            <w:tcW w:w="2190" w:type="pct"/>
            <w:vMerge/>
            <w:vAlign w:val="center"/>
          </w:tcPr>
          <w:p w14:paraId="129AA8A1"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5243EC13"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Feed-in tariffs or premiums</w:t>
            </w:r>
          </w:p>
        </w:tc>
      </w:tr>
      <w:tr w:rsidR="009370CB" w:rsidRPr="004675D3" w14:paraId="627C2D8E"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13ED8B4E" w14:textId="77777777" w:rsidR="009370CB" w:rsidRPr="004675D3" w:rsidRDefault="009370CB" w:rsidP="005B56DC">
            <w:pPr>
              <w:jc w:val="left"/>
              <w:rPr>
                <w:rFonts w:ascii="Arial" w:hAnsi="Arial" w:cs="Arial"/>
                <w:sz w:val="16"/>
                <w:szCs w:val="16"/>
              </w:rPr>
            </w:pPr>
          </w:p>
        </w:tc>
        <w:tc>
          <w:tcPr>
            <w:tcW w:w="2190" w:type="pct"/>
            <w:vMerge/>
            <w:vAlign w:val="center"/>
          </w:tcPr>
          <w:p w14:paraId="1B05DB06"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4AB024AF"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Grants and subsidies</w:t>
            </w:r>
          </w:p>
        </w:tc>
      </w:tr>
      <w:tr w:rsidR="009370CB" w:rsidRPr="004675D3" w14:paraId="2D511E7F"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50EC9493" w14:textId="77777777" w:rsidR="009370CB" w:rsidRPr="004675D3" w:rsidRDefault="009370CB" w:rsidP="005B56DC">
            <w:pPr>
              <w:jc w:val="left"/>
              <w:rPr>
                <w:rFonts w:ascii="Arial" w:hAnsi="Arial" w:cs="Arial"/>
                <w:sz w:val="16"/>
                <w:szCs w:val="16"/>
              </w:rPr>
            </w:pPr>
          </w:p>
        </w:tc>
        <w:tc>
          <w:tcPr>
            <w:tcW w:w="2190" w:type="pct"/>
            <w:vMerge/>
            <w:vAlign w:val="center"/>
          </w:tcPr>
          <w:p w14:paraId="1F0CAC23"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4434814C"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Loans</w:t>
            </w:r>
          </w:p>
        </w:tc>
      </w:tr>
      <w:tr w:rsidR="009370CB" w:rsidRPr="004675D3" w14:paraId="76FC9982"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1C0BB878" w14:textId="77777777" w:rsidR="009370CB" w:rsidRPr="004675D3" w:rsidRDefault="009370CB" w:rsidP="005B56DC">
            <w:pPr>
              <w:jc w:val="left"/>
              <w:rPr>
                <w:rFonts w:ascii="Arial" w:hAnsi="Arial" w:cs="Arial"/>
                <w:sz w:val="16"/>
                <w:szCs w:val="16"/>
              </w:rPr>
            </w:pPr>
          </w:p>
        </w:tc>
        <w:tc>
          <w:tcPr>
            <w:tcW w:w="2190" w:type="pct"/>
            <w:vMerge/>
            <w:vAlign w:val="center"/>
          </w:tcPr>
          <w:p w14:paraId="08B08E44"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784E82CB"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Tax relief</w:t>
            </w:r>
          </w:p>
        </w:tc>
      </w:tr>
      <w:tr w:rsidR="009370CB" w:rsidRPr="004675D3" w14:paraId="1083A1EE"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539A027E" w14:textId="77777777" w:rsidR="009370CB" w:rsidRPr="004675D3" w:rsidRDefault="009370CB" w:rsidP="005B56DC">
            <w:pPr>
              <w:jc w:val="left"/>
              <w:rPr>
                <w:rFonts w:ascii="Arial" w:hAnsi="Arial" w:cs="Arial"/>
                <w:sz w:val="16"/>
                <w:szCs w:val="16"/>
              </w:rPr>
            </w:pPr>
          </w:p>
        </w:tc>
        <w:tc>
          <w:tcPr>
            <w:tcW w:w="2190" w:type="pct"/>
            <w:vMerge/>
            <w:vAlign w:val="center"/>
          </w:tcPr>
          <w:p w14:paraId="565E75C3"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00D89974"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User changes</w:t>
            </w:r>
          </w:p>
        </w:tc>
      </w:tr>
      <w:tr w:rsidR="009370CB" w:rsidRPr="004675D3" w14:paraId="268F1325"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24E7D013" w14:textId="77777777" w:rsidR="009370CB" w:rsidRPr="004675D3" w:rsidRDefault="009370CB" w:rsidP="005B56DC">
            <w:pPr>
              <w:jc w:val="left"/>
              <w:rPr>
                <w:rFonts w:ascii="Arial" w:hAnsi="Arial" w:cs="Arial"/>
                <w:sz w:val="16"/>
                <w:szCs w:val="16"/>
              </w:rPr>
            </w:pPr>
          </w:p>
        </w:tc>
        <w:tc>
          <w:tcPr>
            <w:tcW w:w="2190" w:type="pct"/>
            <w:vMerge/>
            <w:vAlign w:val="center"/>
          </w:tcPr>
          <w:p w14:paraId="6C26391C"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1169E551"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Tendering schemes</w:t>
            </w:r>
          </w:p>
        </w:tc>
      </w:tr>
      <w:tr w:rsidR="009370CB" w:rsidRPr="004675D3" w14:paraId="21E5E4A4"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59DE2731" w14:textId="77777777" w:rsidR="009370CB" w:rsidRPr="004675D3" w:rsidRDefault="009370CB" w:rsidP="005B56DC">
            <w:pPr>
              <w:jc w:val="left"/>
              <w:rPr>
                <w:rFonts w:ascii="Arial" w:hAnsi="Arial" w:cs="Arial"/>
                <w:sz w:val="16"/>
                <w:szCs w:val="16"/>
              </w:rPr>
            </w:pPr>
          </w:p>
        </w:tc>
        <w:tc>
          <w:tcPr>
            <w:tcW w:w="2190" w:type="pct"/>
            <w:vMerge/>
            <w:vAlign w:val="center"/>
          </w:tcPr>
          <w:p w14:paraId="3A9257D8"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1B40D988"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Retirement premium</w:t>
            </w:r>
          </w:p>
        </w:tc>
      </w:tr>
      <w:tr w:rsidR="009370CB" w:rsidRPr="004675D3" w14:paraId="5B674A86"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0B811DD4" w14:textId="77777777" w:rsidR="009370CB" w:rsidRPr="004675D3" w:rsidRDefault="009370CB" w:rsidP="005B56DC">
            <w:pPr>
              <w:jc w:val="left"/>
              <w:rPr>
                <w:rFonts w:ascii="Arial" w:hAnsi="Arial" w:cs="Arial"/>
                <w:sz w:val="16"/>
                <w:szCs w:val="16"/>
              </w:rPr>
            </w:pPr>
          </w:p>
        </w:tc>
        <w:tc>
          <w:tcPr>
            <w:tcW w:w="2190" w:type="pct"/>
            <w:vMerge/>
            <w:vAlign w:val="center"/>
          </w:tcPr>
          <w:p w14:paraId="736214F8"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14CB6ED3"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User charges</w:t>
            </w:r>
          </w:p>
        </w:tc>
      </w:tr>
      <w:tr w:rsidR="009370CB" w:rsidRPr="004675D3" w14:paraId="4E666472"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24A2E786" w14:textId="77777777" w:rsidR="009370CB" w:rsidRPr="004675D3" w:rsidRDefault="009370CB" w:rsidP="005B56DC">
            <w:pPr>
              <w:jc w:val="left"/>
              <w:rPr>
                <w:rFonts w:ascii="Arial" w:hAnsi="Arial" w:cs="Arial"/>
                <w:sz w:val="16"/>
                <w:szCs w:val="16"/>
              </w:rPr>
            </w:pPr>
          </w:p>
        </w:tc>
        <w:tc>
          <w:tcPr>
            <w:tcW w:w="2190" w:type="pct"/>
            <w:vMerge w:val="restart"/>
            <w:vAlign w:val="center"/>
          </w:tcPr>
          <w:p w14:paraId="1898C84A"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Market-based instruments</w:t>
            </w:r>
          </w:p>
        </w:tc>
        <w:tc>
          <w:tcPr>
            <w:tcW w:w="2108" w:type="pct"/>
            <w:vAlign w:val="center"/>
          </w:tcPr>
          <w:p w14:paraId="384872BC"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GHG emissions allowances</w:t>
            </w:r>
          </w:p>
        </w:tc>
      </w:tr>
      <w:tr w:rsidR="009370CB" w:rsidRPr="004675D3" w14:paraId="2CF0B2B6"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49285490" w14:textId="77777777" w:rsidR="009370CB" w:rsidRPr="004675D3" w:rsidRDefault="009370CB" w:rsidP="005B56DC">
            <w:pPr>
              <w:jc w:val="left"/>
              <w:rPr>
                <w:rFonts w:ascii="Arial" w:hAnsi="Arial" w:cs="Arial"/>
                <w:sz w:val="16"/>
                <w:szCs w:val="16"/>
              </w:rPr>
            </w:pPr>
          </w:p>
        </w:tc>
        <w:tc>
          <w:tcPr>
            <w:tcW w:w="2190" w:type="pct"/>
            <w:vMerge/>
            <w:vAlign w:val="center"/>
          </w:tcPr>
          <w:p w14:paraId="2B40E86A"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7420E4A6"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GHG emission reduction crediting and offsetting mechanism</w:t>
            </w:r>
          </w:p>
        </w:tc>
      </w:tr>
      <w:tr w:rsidR="009370CB" w:rsidRPr="004675D3" w14:paraId="0EF01A2E"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2904B414" w14:textId="77777777" w:rsidR="009370CB" w:rsidRPr="004675D3" w:rsidRDefault="009370CB" w:rsidP="005B56DC">
            <w:pPr>
              <w:jc w:val="left"/>
              <w:rPr>
                <w:rFonts w:ascii="Arial" w:hAnsi="Arial" w:cs="Arial"/>
                <w:sz w:val="16"/>
                <w:szCs w:val="16"/>
              </w:rPr>
            </w:pPr>
          </w:p>
        </w:tc>
        <w:tc>
          <w:tcPr>
            <w:tcW w:w="2190" w:type="pct"/>
            <w:vMerge/>
            <w:vAlign w:val="center"/>
          </w:tcPr>
          <w:p w14:paraId="347D3371"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422B372A"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Green certificates</w:t>
            </w:r>
          </w:p>
        </w:tc>
      </w:tr>
      <w:tr w:rsidR="009370CB" w:rsidRPr="004675D3" w14:paraId="4B461BF5"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2C291AF9" w14:textId="77777777" w:rsidR="009370CB" w:rsidRPr="004675D3" w:rsidRDefault="009370CB" w:rsidP="005B56DC">
            <w:pPr>
              <w:jc w:val="left"/>
              <w:rPr>
                <w:rFonts w:ascii="Arial" w:hAnsi="Arial" w:cs="Arial"/>
                <w:sz w:val="16"/>
                <w:szCs w:val="16"/>
              </w:rPr>
            </w:pPr>
          </w:p>
        </w:tc>
        <w:tc>
          <w:tcPr>
            <w:tcW w:w="2190" w:type="pct"/>
            <w:vMerge/>
            <w:vAlign w:val="center"/>
          </w:tcPr>
          <w:p w14:paraId="3FFC8824"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55FFA412"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White certificates</w:t>
            </w:r>
          </w:p>
        </w:tc>
      </w:tr>
      <w:tr w:rsidR="009370CB" w:rsidRPr="004675D3" w14:paraId="192A221F"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restart"/>
            <w:vAlign w:val="center"/>
          </w:tcPr>
          <w:p w14:paraId="5BAB628A" w14:textId="77777777" w:rsidR="009370CB" w:rsidRPr="004675D3" w:rsidRDefault="009370CB" w:rsidP="005B56DC">
            <w:pPr>
              <w:jc w:val="left"/>
              <w:rPr>
                <w:rFonts w:ascii="Arial" w:hAnsi="Arial" w:cs="Arial"/>
                <w:sz w:val="16"/>
                <w:szCs w:val="16"/>
              </w:rPr>
            </w:pPr>
            <w:r w:rsidRPr="004675D3">
              <w:rPr>
                <w:rFonts w:ascii="Arial" w:hAnsi="Arial" w:cs="Arial"/>
                <w:sz w:val="16"/>
                <w:szCs w:val="16"/>
              </w:rPr>
              <w:t>Regulatory instruments</w:t>
            </w:r>
          </w:p>
        </w:tc>
        <w:tc>
          <w:tcPr>
            <w:tcW w:w="2190" w:type="pct"/>
            <w:vMerge w:val="restart"/>
            <w:vAlign w:val="center"/>
          </w:tcPr>
          <w:p w14:paraId="58F02E7C"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Codes and standards</w:t>
            </w:r>
          </w:p>
        </w:tc>
        <w:tc>
          <w:tcPr>
            <w:tcW w:w="2108" w:type="pct"/>
            <w:vAlign w:val="center"/>
          </w:tcPr>
          <w:p w14:paraId="11342989"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Building codes and standards</w:t>
            </w:r>
          </w:p>
        </w:tc>
      </w:tr>
      <w:tr w:rsidR="009370CB" w:rsidRPr="004675D3" w14:paraId="53C70ED2"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006BBF54" w14:textId="77777777" w:rsidR="009370CB" w:rsidRPr="004675D3" w:rsidRDefault="009370CB" w:rsidP="005B56DC">
            <w:pPr>
              <w:jc w:val="left"/>
              <w:rPr>
                <w:rFonts w:ascii="Arial" w:hAnsi="Arial" w:cs="Arial"/>
                <w:sz w:val="16"/>
                <w:szCs w:val="16"/>
              </w:rPr>
            </w:pPr>
          </w:p>
        </w:tc>
        <w:tc>
          <w:tcPr>
            <w:tcW w:w="2190" w:type="pct"/>
            <w:vMerge/>
            <w:vAlign w:val="center"/>
          </w:tcPr>
          <w:p w14:paraId="4097B89B"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1791E9E7"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Product Standards</w:t>
            </w:r>
          </w:p>
        </w:tc>
      </w:tr>
      <w:tr w:rsidR="009370CB" w:rsidRPr="004675D3" w14:paraId="7AD85C72"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16906835" w14:textId="77777777" w:rsidR="009370CB" w:rsidRPr="004675D3" w:rsidRDefault="009370CB" w:rsidP="005B56DC">
            <w:pPr>
              <w:jc w:val="left"/>
              <w:rPr>
                <w:rFonts w:ascii="Arial" w:hAnsi="Arial" w:cs="Arial"/>
                <w:sz w:val="16"/>
                <w:szCs w:val="16"/>
              </w:rPr>
            </w:pPr>
          </w:p>
        </w:tc>
        <w:tc>
          <w:tcPr>
            <w:tcW w:w="2190" w:type="pct"/>
            <w:vMerge/>
            <w:vAlign w:val="center"/>
          </w:tcPr>
          <w:p w14:paraId="3CFA6B88"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6DFC15AC"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Sectoral Standards</w:t>
            </w:r>
          </w:p>
        </w:tc>
      </w:tr>
      <w:tr w:rsidR="009370CB" w:rsidRPr="004675D3" w14:paraId="5A0D4E21"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595F7015" w14:textId="77777777" w:rsidR="009370CB" w:rsidRPr="004675D3" w:rsidRDefault="009370CB" w:rsidP="005B56DC">
            <w:pPr>
              <w:jc w:val="left"/>
              <w:rPr>
                <w:rFonts w:ascii="Arial" w:hAnsi="Arial" w:cs="Arial"/>
                <w:sz w:val="16"/>
                <w:szCs w:val="16"/>
              </w:rPr>
            </w:pPr>
          </w:p>
        </w:tc>
        <w:tc>
          <w:tcPr>
            <w:tcW w:w="2190" w:type="pct"/>
            <w:vAlign w:val="center"/>
          </w:tcPr>
          <w:p w14:paraId="3D5BBA68"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030B0D63"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Vehicle fuel-economy and emissions standards</w:t>
            </w:r>
          </w:p>
        </w:tc>
      </w:tr>
      <w:tr w:rsidR="009370CB" w:rsidRPr="004675D3" w14:paraId="61F73DF2"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4B7B268D" w14:textId="77777777" w:rsidR="009370CB" w:rsidRPr="004675D3" w:rsidRDefault="009370CB" w:rsidP="005B56DC">
            <w:pPr>
              <w:jc w:val="left"/>
              <w:rPr>
                <w:rFonts w:ascii="Arial" w:hAnsi="Arial" w:cs="Arial"/>
                <w:sz w:val="16"/>
                <w:szCs w:val="16"/>
              </w:rPr>
            </w:pPr>
          </w:p>
        </w:tc>
        <w:tc>
          <w:tcPr>
            <w:tcW w:w="2190" w:type="pct"/>
            <w:vAlign w:val="center"/>
          </w:tcPr>
          <w:p w14:paraId="4E82C28B"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096E27BD"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Auditing</w:t>
            </w:r>
          </w:p>
        </w:tc>
      </w:tr>
      <w:tr w:rsidR="009370CB" w:rsidRPr="004675D3" w14:paraId="7B385D5E"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65106745" w14:textId="77777777" w:rsidR="009370CB" w:rsidRPr="004675D3" w:rsidRDefault="009370CB" w:rsidP="005B56DC">
            <w:pPr>
              <w:jc w:val="left"/>
              <w:rPr>
                <w:rFonts w:ascii="Arial" w:hAnsi="Arial" w:cs="Arial"/>
                <w:sz w:val="16"/>
                <w:szCs w:val="16"/>
              </w:rPr>
            </w:pPr>
          </w:p>
        </w:tc>
        <w:tc>
          <w:tcPr>
            <w:tcW w:w="2190" w:type="pct"/>
            <w:vAlign w:val="center"/>
          </w:tcPr>
          <w:p w14:paraId="4156B3A8"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36371BF5"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Monitoring</w:t>
            </w:r>
          </w:p>
        </w:tc>
      </w:tr>
      <w:tr w:rsidR="009370CB" w:rsidRPr="004675D3" w14:paraId="22751CC2"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3C62D769" w14:textId="77777777" w:rsidR="009370CB" w:rsidRPr="004675D3" w:rsidRDefault="009370CB" w:rsidP="005B56DC">
            <w:pPr>
              <w:jc w:val="left"/>
              <w:rPr>
                <w:rFonts w:ascii="Arial" w:hAnsi="Arial" w:cs="Arial"/>
                <w:sz w:val="16"/>
                <w:szCs w:val="16"/>
              </w:rPr>
            </w:pPr>
          </w:p>
        </w:tc>
        <w:tc>
          <w:tcPr>
            <w:tcW w:w="2190" w:type="pct"/>
            <w:vAlign w:val="center"/>
          </w:tcPr>
          <w:p w14:paraId="36EE9F27"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7B5C63FF"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Obligation schemes</w:t>
            </w:r>
          </w:p>
        </w:tc>
      </w:tr>
      <w:tr w:rsidR="009370CB" w:rsidRPr="004675D3" w14:paraId="51DCD34D"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01DD0058" w14:textId="77777777" w:rsidR="009370CB" w:rsidRPr="004675D3" w:rsidRDefault="009370CB" w:rsidP="005B56DC">
            <w:pPr>
              <w:jc w:val="left"/>
              <w:rPr>
                <w:rFonts w:ascii="Arial" w:hAnsi="Arial" w:cs="Arial"/>
                <w:sz w:val="16"/>
                <w:szCs w:val="16"/>
              </w:rPr>
            </w:pPr>
          </w:p>
        </w:tc>
        <w:tc>
          <w:tcPr>
            <w:tcW w:w="2190" w:type="pct"/>
            <w:vAlign w:val="center"/>
          </w:tcPr>
          <w:p w14:paraId="1662D67C"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68CB1476"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Other mandatory requirements</w:t>
            </w:r>
          </w:p>
        </w:tc>
      </w:tr>
      <w:tr w:rsidR="009370CB" w:rsidRPr="004675D3" w14:paraId="7C5E49F0"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restart"/>
            <w:vAlign w:val="center"/>
          </w:tcPr>
          <w:p w14:paraId="1FA3020C" w14:textId="77777777" w:rsidR="009370CB" w:rsidRPr="004675D3" w:rsidRDefault="009370CB" w:rsidP="005B56DC">
            <w:pPr>
              <w:jc w:val="left"/>
              <w:rPr>
                <w:rFonts w:ascii="Arial" w:hAnsi="Arial" w:cs="Arial"/>
                <w:sz w:val="16"/>
                <w:szCs w:val="16"/>
              </w:rPr>
            </w:pPr>
            <w:r w:rsidRPr="004675D3">
              <w:rPr>
                <w:rFonts w:ascii="Arial" w:hAnsi="Arial" w:cs="Arial"/>
                <w:sz w:val="16"/>
                <w:szCs w:val="16"/>
              </w:rPr>
              <w:t>Information and education</w:t>
            </w:r>
          </w:p>
        </w:tc>
        <w:tc>
          <w:tcPr>
            <w:tcW w:w="2190" w:type="pct"/>
            <w:vMerge w:val="restart"/>
            <w:vAlign w:val="center"/>
          </w:tcPr>
          <w:p w14:paraId="4B924E5D"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Performance label</w:t>
            </w:r>
          </w:p>
        </w:tc>
        <w:tc>
          <w:tcPr>
            <w:tcW w:w="2108" w:type="pct"/>
            <w:vAlign w:val="center"/>
          </w:tcPr>
          <w:p w14:paraId="46D534FB"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Comparison label</w:t>
            </w:r>
          </w:p>
        </w:tc>
      </w:tr>
      <w:tr w:rsidR="009370CB" w:rsidRPr="004675D3" w14:paraId="09090C66" w14:textId="77777777" w:rsidTr="005B56DC">
        <w:trPr>
          <w:trHeight w:val="141"/>
        </w:trPr>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48476456" w14:textId="77777777" w:rsidR="009370CB" w:rsidRPr="004675D3" w:rsidRDefault="009370CB" w:rsidP="005B56DC">
            <w:pPr>
              <w:jc w:val="left"/>
              <w:rPr>
                <w:rFonts w:ascii="Arial" w:hAnsi="Arial" w:cs="Arial"/>
                <w:sz w:val="16"/>
                <w:szCs w:val="16"/>
              </w:rPr>
            </w:pPr>
          </w:p>
        </w:tc>
        <w:tc>
          <w:tcPr>
            <w:tcW w:w="2190" w:type="pct"/>
            <w:vMerge/>
            <w:vAlign w:val="center"/>
          </w:tcPr>
          <w:p w14:paraId="75E123A9"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5922043A"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Endorsement label</w:t>
            </w:r>
          </w:p>
        </w:tc>
      </w:tr>
      <w:tr w:rsidR="009370CB" w:rsidRPr="004675D3" w14:paraId="71F39856"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3B2D6B0A" w14:textId="77777777" w:rsidR="009370CB" w:rsidRPr="004675D3" w:rsidRDefault="009370CB" w:rsidP="005B56DC">
            <w:pPr>
              <w:jc w:val="left"/>
              <w:rPr>
                <w:rFonts w:ascii="Arial" w:hAnsi="Arial" w:cs="Arial"/>
                <w:sz w:val="16"/>
                <w:szCs w:val="16"/>
              </w:rPr>
            </w:pPr>
          </w:p>
        </w:tc>
        <w:tc>
          <w:tcPr>
            <w:tcW w:w="2190" w:type="pct"/>
            <w:vAlign w:val="center"/>
          </w:tcPr>
          <w:p w14:paraId="58702B22"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6233A2A6"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Advice and aid in implementation</w:t>
            </w:r>
          </w:p>
        </w:tc>
      </w:tr>
      <w:tr w:rsidR="009370CB" w:rsidRPr="004675D3" w14:paraId="07A7145B"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292819DF" w14:textId="77777777" w:rsidR="009370CB" w:rsidRPr="004675D3" w:rsidRDefault="009370CB" w:rsidP="005B56DC">
            <w:pPr>
              <w:jc w:val="left"/>
              <w:rPr>
                <w:rFonts w:ascii="Arial" w:hAnsi="Arial" w:cs="Arial"/>
                <w:sz w:val="16"/>
                <w:szCs w:val="16"/>
              </w:rPr>
            </w:pPr>
          </w:p>
        </w:tc>
        <w:tc>
          <w:tcPr>
            <w:tcW w:w="2190" w:type="pct"/>
            <w:vAlign w:val="center"/>
          </w:tcPr>
          <w:p w14:paraId="027558F5"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6AE2536B"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Information provision</w:t>
            </w:r>
          </w:p>
        </w:tc>
      </w:tr>
      <w:tr w:rsidR="009370CB" w:rsidRPr="004675D3" w14:paraId="58171AEE"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2FC4A16E" w14:textId="77777777" w:rsidR="009370CB" w:rsidRPr="004675D3" w:rsidRDefault="009370CB" w:rsidP="005B56DC">
            <w:pPr>
              <w:jc w:val="left"/>
              <w:rPr>
                <w:rFonts w:ascii="Arial" w:hAnsi="Arial" w:cs="Arial"/>
                <w:sz w:val="16"/>
                <w:szCs w:val="16"/>
              </w:rPr>
            </w:pPr>
          </w:p>
        </w:tc>
        <w:tc>
          <w:tcPr>
            <w:tcW w:w="2190" w:type="pct"/>
            <w:vAlign w:val="center"/>
          </w:tcPr>
          <w:p w14:paraId="2571BF8C"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17CE1562"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Professional training and qualification</w:t>
            </w:r>
          </w:p>
        </w:tc>
      </w:tr>
      <w:tr w:rsidR="009370CB" w:rsidRPr="004675D3" w14:paraId="1FE34692"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restart"/>
            <w:vAlign w:val="center"/>
          </w:tcPr>
          <w:p w14:paraId="0970FD7F" w14:textId="77777777" w:rsidR="009370CB" w:rsidRPr="004675D3" w:rsidRDefault="009370CB" w:rsidP="005B56DC">
            <w:pPr>
              <w:jc w:val="left"/>
              <w:rPr>
                <w:rFonts w:ascii="Arial" w:hAnsi="Arial" w:cs="Arial"/>
                <w:sz w:val="16"/>
                <w:szCs w:val="16"/>
              </w:rPr>
            </w:pPr>
            <w:r w:rsidRPr="004675D3">
              <w:rPr>
                <w:rFonts w:ascii="Arial" w:hAnsi="Arial" w:cs="Arial"/>
                <w:sz w:val="16"/>
                <w:szCs w:val="16"/>
              </w:rPr>
              <w:t>Policy support</w:t>
            </w:r>
          </w:p>
        </w:tc>
        <w:tc>
          <w:tcPr>
            <w:tcW w:w="2190" w:type="pct"/>
            <w:vAlign w:val="center"/>
          </w:tcPr>
          <w:p w14:paraId="4EB9AD3B"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44377DD6"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Institutional creation</w:t>
            </w:r>
          </w:p>
        </w:tc>
      </w:tr>
      <w:tr w:rsidR="009370CB" w:rsidRPr="004675D3" w14:paraId="1D9CBD15"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6D1721FB" w14:textId="77777777" w:rsidR="009370CB" w:rsidRPr="004675D3" w:rsidRDefault="009370CB" w:rsidP="005B56DC">
            <w:pPr>
              <w:jc w:val="left"/>
              <w:rPr>
                <w:rFonts w:ascii="Arial" w:hAnsi="Arial" w:cs="Arial"/>
                <w:sz w:val="16"/>
                <w:szCs w:val="16"/>
              </w:rPr>
            </w:pPr>
          </w:p>
        </w:tc>
        <w:tc>
          <w:tcPr>
            <w:tcW w:w="2190" w:type="pct"/>
            <w:vAlign w:val="center"/>
          </w:tcPr>
          <w:p w14:paraId="2B7F9D4F"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59C2B4BE"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Strategic planning</w:t>
            </w:r>
          </w:p>
        </w:tc>
      </w:tr>
      <w:tr w:rsidR="009370CB" w:rsidRPr="004675D3" w14:paraId="031E57C1"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restart"/>
            <w:vAlign w:val="center"/>
          </w:tcPr>
          <w:p w14:paraId="210EA33A" w14:textId="4890913C" w:rsidR="009370CB" w:rsidRPr="004675D3" w:rsidRDefault="009370CB" w:rsidP="005B56DC">
            <w:pPr>
              <w:jc w:val="left"/>
              <w:rPr>
                <w:rFonts w:ascii="Arial" w:hAnsi="Arial" w:cs="Arial"/>
                <w:sz w:val="16"/>
                <w:szCs w:val="16"/>
              </w:rPr>
            </w:pPr>
            <w:r w:rsidRPr="004675D3">
              <w:rPr>
                <w:rFonts w:ascii="Arial" w:hAnsi="Arial" w:cs="Arial"/>
                <w:sz w:val="16"/>
                <w:szCs w:val="16"/>
              </w:rPr>
              <w:t>RD&amp;D</w:t>
            </w:r>
          </w:p>
        </w:tc>
        <w:tc>
          <w:tcPr>
            <w:tcW w:w="2190" w:type="pct"/>
            <w:vMerge w:val="restart"/>
            <w:vAlign w:val="center"/>
          </w:tcPr>
          <w:p w14:paraId="49989E51"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Research programme</w:t>
            </w:r>
          </w:p>
        </w:tc>
        <w:tc>
          <w:tcPr>
            <w:tcW w:w="2108" w:type="pct"/>
            <w:vAlign w:val="center"/>
          </w:tcPr>
          <w:p w14:paraId="7EFE76BE"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Technology deployment and diffusion</w:t>
            </w:r>
          </w:p>
        </w:tc>
      </w:tr>
      <w:tr w:rsidR="009370CB" w:rsidRPr="004675D3" w14:paraId="0DE2D757"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3E193CFD" w14:textId="77777777" w:rsidR="009370CB" w:rsidRPr="004675D3" w:rsidRDefault="009370CB" w:rsidP="005B56DC">
            <w:pPr>
              <w:jc w:val="left"/>
              <w:rPr>
                <w:rFonts w:ascii="Arial" w:hAnsi="Arial" w:cs="Arial"/>
                <w:sz w:val="16"/>
                <w:szCs w:val="16"/>
              </w:rPr>
            </w:pPr>
          </w:p>
        </w:tc>
        <w:tc>
          <w:tcPr>
            <w:tcW w:w="2190" w:type="pct"/>
            <w:vMerge/>
            <w:vAlign w:val="center"/>
          </w:tcPr>
          <w:p w14:paraId="69458064"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2A5B5BF0"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Technology development</w:t>
            </w:r>
          </w:p>
        </w:tc>
      </w:tr>
      <w:tr w:rsidR="009370CB" w:rsidRPr="004675D3" w14:paraId="6A2E6E9B"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526BCD37" w14:textId="77777777" w:rsidR="009370CB" w:rsidRPr="004675D3" w:rsidRDefault="009370CB" w:rsidP="005B56DC">
            <w:pPr>
              <w:jc w:val="left"/>
              <w:rPr>
                <w:rFonts w:ascii="Arial" w:hAnsi="Arial" w:cs="Arial"/>
                <w:sz w:val="16"/>
                <w:szCs w:val="16"/>
              </w:rPr>
            </w:pPr>
          </w:p>
        </w:tc>
        <w:tc>
          <w:tcPr>
            <w:tcW w:w="2190" w:type="pct"/>
            <w:vAlign w:val="center"/>
          </w:tcPr>
          <w:p w14:paraId="0CACA20E"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55D1BC37"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Demonstration project</w:t>
            </w:r>
          </w:p>
        </w:tc>
      </w:tr>
      <w:tr w:rsidR="009370CB" w:rsidRPr="004675D3" w14:paraId="48167047"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restart"/>
            <w:vAlign w:val="center"/>
          </w:tcPr>
          <w:p w14:paraId="12562E57" w14:textId="77777777" w:rsidR="009370CB" w:rsidRPr="004675D3" w:rsidRDefault="009370CB" w:rsidP="005B56DC">
            <w:pPr>
              <w:jc w:val="left"/>
              <w:rPr>
                <w:rFonts w:ascii="Arial" w:hAnsi="Arial" w:cs="Arial"/>
                <w:sz w:val="16"/>
                <w:szCs w:val="16"/>
              </w:rPr>
            </w:pPr>
            <w:r w:rsidRPr="004675D3">
              <w:rPr>
                <w:rFonts w:ascii="Arial" w:hAnsi="Arial" w:cs="Arial"/>
                <w:sz w:val="16"/>
                <w:szCs w:val="16"/>
              </w:rPr>
              <w:t>Voluntary approaches</w:t>
            </w:r>
          </w:p>
        </w:tc>
        <w:tc>
          <w:tcPr>
            <w:tcW w:w="2190" w:type="pct"/>
            <w:vAlign w:val="center"/>
          </w:tcPr>
          <w:p w14:paraId="0F3C8704"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20145BE7"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Negotiated agreements (public/private sector)</w:t>
            </w:r>
          </w:p>
        </w:tc>
      </w:tr>
      <w:tr w:rsidR="009370CB" w:rsidRPr="004675D3" w14:paraId="2FB3FE62"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1FDE38F3" w14:textId="77777777" w:rsidR="009370CB" w:rsidRPr="004675D3" w:rsidRDefault="009370CB" w:rsidP="005B56DC">
            <w:pPr>
              <w:jc w:val="left"/>
              <w:rPr>
                <w:rFonts w:ascii="Arial" w:hAnsi="Arial" w:cs="Arial"/>
                <w:sz w:val="16"/>
                <w:szCs w:val="16"/>
              </w:rPr>
            </w:pPr>
          </w:p>
        </w:tc>
        <w:tc>
          <w:tcPr>
            <w:tcW w:w="2190" w:type="pct"/>
            <w:vAlign w:val="center"/>
          </w:tcPr>
          <w:p w14:paraId="2B3B7DFF"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245D7090"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 xml:space="preserve">Public voluntary schemes </w:t>
            </w:r>
          </w:p>
        </w:tc>
      </w:tr>
      <w:tr w:rsidR="009370CB" w:rsidRPr="004675D3" w14:paraId="107DE916" w14:textId="77777777" w:rsidTr="005B56DC">
        <w:trPr>
          <w:trHeight w:val="123"/>
        </w:trPr>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2732C6AD" w14:textId="77777777" w:rsidR="009370CB" w:rsidRPr="004675D3" w:rsidRDefault="009370CB" w:rsidP="005B56DC">
            <w:pPr>
              <w:jc w:val="left"/>
              <w:rPr>
                <w:rFonts w:ascii="Arial" w:hAnsi="Arial" w:cs="Arial"/>
                <w:sz w:val="16"/>
                <w:szCs w:val="16"/>
              </w:rPr>
            </w:pPr>
          </w:p>
        </w:tc>
        <w:tc>
          <w:tcPr>
            <w:tcW w:w="2190" w:type="pct"/>
            <w:vAlign w:val="center"/>
          </w:tcPr>
          <w:p w14:paraId="61FCA2DA"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34007464"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Unilateral commitments (private sector)</w:t>
            </w:r>
          </w:p>
        </w:tc>
      </w:tr>
      <w:tr w:rsidR="009370CB" w:rsidRPr="004675D3" w14:paraId="427508AC" w14:textId="77777777" w:rsidTr="005B56DC">
        <w:trPr>
          <w:trHeight w:val="78"/>
        </w:trPr>
        <w:tc>
          <w:tcPr>
            <w:cnfStyle w:val="001000000000" w:firstRow="0" w:lastRow="0" w:firstColumn="1" w:lastColumn="0" w:oddVBand="0" w:evenVBand="0" w:oddHBand="0" w:evenHBand="0" w:firstRowFirstColumn="0" w:firstRowLastColumn="0" w:lastRowFirstColumn="0" w:lastRowLastColumn="0"/>
            <w:tcW w:w="701" w:type="pct"/>
            <w:vMerge w:val="restart"/>
            <w:vAlign w:val="center"/>
          </w:tcPr>
          <w:p w14:paraId="4963B2C7" w14:textId="77777777" w:rsidR="009370CB" w:rsidRPr="004675D3" w:rsidRDefault="009370CB" w:rsidP="005B56DC">
            <w:pPr>
              <w:jc w:val="left"/>
              <w:rPr>
                <w:rFonts w:ascii="Arial" w:hAnsi="Arial" w:cs="Arial"/>
                <w:b w:val="0"/>
                <w:sz w:val="16"/>
                <w:szCs w:val="16"/>
              </w:rPr>
            </w:pPr>
            <w:r w:rsidRPr="004675D3">
              <w:rPr>
                <w:rFonts w:ascii="Arial" w:hAnsi="Arial" w:cs="Arial"/>
                <w:sz w:val="16"/>
                <w:szCs w:val="16"/>
              </w:rPr>
              <w:t>Barrier removal</w:t>
            </w:r>
          </w:p>
        </w:tc>
        <w:tc>
          <w:tcPr>
            <w:tcW w:w="2190" w:type="pct"/>
            <w:vAlign w:val="center"/>
          </w:tcPr>
          <w:p w14:paraId="10CE6891"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598E4835"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Net metering</w:t>
            </w:r>
          </w:p>
        </w:tc>
      </w:tr>
      <w:tr w:rsidR="009370CB" w:rsidRPr="004675D3" w14:paraId="138FB791"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1EDA8C26" w14:textId="77777777" w:rsidR="009370CB" w:rsidRPr="004675D3" w:rsidRDefault="009370CB" w:rsidP="005B56DC">
            <w:pPr>
              <w:jc w:val="left"/>
              <w:rPr>
                <w:rFonts w:ascii="Arial" w:hAnsi="Arial" w:cs="Arial"/>
                <w:sz w:val="16"/>
                <w:szCs w:val="16"/>
              </w:rPr>
            </w:pPr>
          </w:p>
        </w:tc>
        <w:tc>
          <w:tcPr>
            <w:tcW w:w="2190" w:type="pct"/>
            <w:vAlign w:val="center"/>
          </w:tcPr>
          <w:p w14:paraId="413F433B"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3302F577"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Removal of fossil-fuel subsidies</w:t>
            </w:r>
          </w:p>
        </w:tc>
      </w:tr>
      <w:tr w:rsidR="009370CB" w:rsidRPr="004675D3" w14:paraId="3A8E6C4B"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0B81E748" w14:textId="77777777" w:rsidR="009370CB" w:rsidRPr="004675D3" w:rsidRDefault="009370CB" w:rsidP="005B56DC">
            <w:pPr>
              <w:jc w:val="left"/>
              <w:rPr>
                <w:rFonts w:ascii="Arial" w:hAnsi="Arial" w:cs="Arial"/>
                <w:sz w:val="16"/>
                <w:szCs w:val="16"/>
              </w:rPr>
            </w:pPr>
          </w:p>
        </w:tc>
        <w:tc>
          <w:tcPr>
            <w:tcW w:w="2190" w:type="pct"/>
            <w:vAlign w:val="center"/>
          </w:tcPr>
          <w:p w14:paraId="11927213"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3A2F103B"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Removal of split incentives</w:t>
            </w:r>
          </w:p>
        </w:tc>
      </w:tr>
      <w:tr w:rsidR="009370CB" w:rsidRPr="004675D3" w14:paraId="60837387"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04DD5051" w14:textId="77777777" w:rsidR="009370CB" w:rsidRPr="004675D3" w:rsidRDefault="009370CB" w:rsidP="005B56DC">
            <w:pPr>
              <w:jc w:val="left"/>
              <w:rPr>
                <w:rFonts w:ascii="Arial" w:hAnsi="Arial" w:cs="Arial"/>
                <w:sz w:val="16"/>
                <w:szCs w:val="16"/>
              </w:rPr>
            </w:pPr>
          </w:p>
        </w:tc>
        <w:tc>
          <w:tcPr>
            <w:tcW w:w="2190" w:type="pct"/>
            <w:vAlign w:val="center"/>
          </w:tcPr>
          <w:p w14:paraId="395EE973"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092EB932"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Grid access and priority for renewables</w:t>
            </w:r>
          </w:p>
        </w:tc>
      </w:tr>
      <w:tr w:rsidR="009370CB" w:rsidRPr="004675D3" w14:paraId="4477CA0E" w14:textId="77777777" w:rsidTr="005B56DC">
        <w:trPr>
          <w:trHeight w:val="213"/>
        </w:trPr>
        <w:tc>
          <w:tcPr>
            <w:cnfStyle w:val="001000000000" w:firstRow="0" w:lastRow="0" w:firstColumn="1" w:lastColumn="0" w:oddVBand="0" w:evenVBand="0" w:oddHBand="0" w:evenHBand="0" w:firstRowFirstColumn="0" w:firstRowLastColumn="0" w:lastRowFirstColumn="0" w:lastRowLastColumn="0"/>
            <w:tcW w:w="701" w:type="pct"/>
            <w:vMerge w:val="restart"/>
            <w:vAlign w:val="center"/>
          </w:tcPr>
          <w:p w14:paraId="2DF3DD02" w14:textId="77777777" w:rsidR="009370CB" w:rsidRPr="004675D3" w:rsidRDefault="009370CB" w:rsidP="005B56DC">
            <w:pPr>
              <w:jc w:val="left"/>
              <w:rPr>
                <w:rFonts w:ascii="Arial" w:hAnsi="Arial" w:cs="Arial"/>
                <w:sz w:val="16"/>
                <w:szCs w:val="16"/>
              </w:rPr>
            </w:pPr>
            <w:r w:rsidRPr="004675D3">
              <w:rPr>
                <w:rFonts w:ascii="Arial" w:hAnsi="Arial" w:cs="Arial"/>
                <w:sz w:val="16"/>
                <w:szCs w:val="16"/>
              </w:rPr>
              <w:t>Climate strategy</w:t>
            </w:r>
          </w:p>
        </w:tc>
        <w:tc>
          <w:tcPr>
            <w:tcW w:w="2190" w:type="pct"/>
            <w:vAlign w:val="center"/>
          </w:tcPr>
          <w:p w14:paraId="7F725CD4"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61603FAD"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Formal &amp; legally binding climate strategy</w:t>
            </w:r>
          </w:p>
        </w:tc>
      </w:tr>
      <w:tr w:rsidR="009370CB" w:rsidRPr="004675D3" w14:paraId="68B716CA"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428F5EBE" w14:textId="77777777" w:rsidR="009370CB" w:rsidRPr="004675D3" w:rsidRDefault="009370CB" w:rsidP="005B56DC">
            <w:pPr>
              <w:jc w:val="left"/>
              <w:rPr>
                <w:rFonts w:ascii="Arial" w:hAnsi="Arial" w:cs="Arial"/>
                <w:sz w:val="16"/>
                <w:szCs w:val="16"/>
              </w:rPr>
            </w:pPr>
          </w:p>
        </w:tc>
        <w:tc>
          <w:tcPr>
            <w:tcW w:w="2190" w:type="pct"/>
            <w:vAlign w:val="center"/>
          </w:tcPr>
          <w:p w14:paraId="113268D5"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55EC63A2"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Political &amp; non-binding climate strategy</w:t>
            </w:r>
          </w:p>
        </w:tc>
      </w:tr>
      <w:tr w:rsidR="009370CB" w:rsidRPr="004675D3" w14:paraId="5F6CC4C6"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52F23486" w14:textId="77777777" w:rsidR="009370CB" w:rsidRPr="004675D3" w:rsidRDefault="009370CB" w:rsidP="005B56DC">
            <w:pPr>
              <w:jc w:val="left"/>
              <w:rPr>
                <w:rFonts w:ascii="Arial" w:hAnsi="Arial" w:cs="Arial"/>
                <w:sz w:val="16"/>
                <w:szCs w:val="16"/>
              </w:rPr>
            </w:pPr>
          </w:p>
        </w:tc>
        <w:tc>
          <w:tcPr>
            <w:tcW w:w="2190" w:type="pct"/>
            <w:vAlign w:val="center"/>
          </w:tcPr>
          <w:p w14:paraId="30D5DD29"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179237A0"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Coordinating body for climate strategy</w:t>
            </w:r>
          </w:p>
        </w:tc>
      </w:tr>
      <w:tr w:rsidR="009370CB" w:rsidRPr="004675D3" w14:paraId="4C5F1D09"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restart"/>
            <w:vAlign w:val="center"/>
          </w:tcPr>
          <w:p w14:paraId="6AC5BCFD" w14:textId="77777777" w:rsidR="009370CB" w:rsidRPr="004675D3" w:rsidRDefault="009370CB" w:rsidP="005B56DC">
            <w:pPr>
              <w:jc w:val="left"/>
              <w:rPr>
                <w:rFonts w:ascii="Arial" w:hAnsi="Arial" w:cs="Arial"/>
                <w:sz w:val="16"/>
                <w:szCs w:val="16"/>
              </w:rPr>
            </w:pPr>
            <w:r w:rsidRPr="004675D3">
              <w:rPr>
                <w:rFonts w:ascii="Arial" w:hAnsi="Arial" w:cs="Arial"/>
                <w:sz w:val="16"/>
                <w:szCs w:val="16"/>
              </w:rPr>
              <w:t>Target</w:t>
            </w:r>
          </w:p>
        </w:tc>
        <w:tc>
          <w:tcPr>
            <w:tcW w:w="2190" w:type="pct"/>
            <w:vAlign w:val="center"/>
          </w:tcPr>
          <w:p w14:paraId="3EF026AD"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1E08A2ED"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Energy efficiency target</w:t>
            </w:r>
          </w:p>
        </w:tc>
      </w:tr>
      <w:tr w:rsidR="009370CB" w:rsidRPr="004675D3" w14:paraId="740A43E8"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77E9D249" w14:textId="77777777" w:rsidR="009370CB" w:rsidRPr="004675D3" w:rsidRDefault="009370CB" w:rsidP="005B56DC">
            <w:pPr>
              <w:jc w:val="left"/>
              <w:rPr>
                <w:rFonts w:ascii="Arial" w:hAnsi="Arial" w:cs="Arial"/>
                <w:sz w:val="16"/>
                <w:szCs w:val="16"/>
              </w:rPr>
            </w:pPr>
          </w:p>
        </w:tc>
        <w:tc>
          <w:tcPr>
            <w:tcW w:w="2190" w:type="pct"/>
            <w:vAlign w:val="center"/>
          </w:tcPr>
          <w:p w14:paraId="60352990"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72885AA4"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GHG reduction target</w:t>
            </w:r>
          </w:p>
        </w:tc>
      </w:tr>
      <w:tr w:rsidR="009370CB" w:rsidRPr="004675D3" w14:paraId="2AF4C10D" w14:textId="77777777" w:rsidTr="005B56DC">
        <w:tc>
          <w:tcPr>
            <w:cnfStyle w:val="001000000000" w:firstRow="0" w:lastRow="0" w:firstColumn="1" w:lastColumn="0" w:oddVBand="0" w:evenVBand="0" w:oddHBand="0" w:evenHBand="0" w:firstRowFirstColumn="0" w:firstRowLastColumn="0" w:lastRowFirstColumn="0" w:lastRowLastColumn="0"/>
            <w:tcW w:w="701" w:type="pct"/>
            <w:vMerge/>
            <w:vAlign w:val="center"/>
          </w:tcPr>
          <w:p w14:paraId="48DBFEB6" w14:textId="77777777" w:rsidR="009370CB" w:rsidRPr="004675D3" w:rsidRDefault="009370CB" w:rsidP="005B56DC">
            <w:pPr>
              <w:jc w:val="left"/>
              <w:rPr>
                <w:rFonts w:ascii="Arial" w:hAnsi="Arial" w:cs="Arial"/>
                <w:sz w:val="16"/>
                <w:szCs w:val="16"/>
              </w:rPr>
            </w:pPr>
          </w:p>
        </w:tc>
        <w:tc>
          <w:tcPr>
            <w:tcW w:w="2190" w:type="pct"/>
            <w:vAlign w:val="center"/>
          </w:tcPr>
          <w:p w14:paraId="3AC76775"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tc>
        <w:tc>
          <w:tcPr>
            <w:tcW w:w="2108" w:type="pct"/>
            <w:vAlign w:val="center"/>
          </w:tcPr>
          <w:p w14:paraId="0ED8B718" w14:textId="77777777" w:rsidR="009370CB" w:rsidRPr="004675D3" w:rsidRDefault="009370CB" w:rsidP="005B56DC">
            <w:pPr>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b/>
                <w:sz w:val="16"/>
                <w:szCs w:val="16"/>
              </w:rPr>
              <w:t>Renewable energy target</w:t>
            </w:r>
          </w:p>
        </w:tc>
      </w:tr>
    </w:tbl>
    <w:p w14:paraId="0A9EE572" w14:textId="77777777" w:rsidR="009370CB" w:rsidRPr="004675D3" w:rsidRDefault="009370CB" w:rsidP="009370CB">
      <w:pPr>
        <w:spacing w:line="259" w:lineRule="auto"/>
        <w:jc w:val="left"/>
        <w:rPr>
          <w:rFonts w:ascii="Arial" w:hAnsi="Arial" w:cs="Arial"/>
        </w:rPr>
      </w:pPr>
      <w:r w:rsidRPr="004675D3">
        <w:rPr>
          <w:rFonts w:ascii="Arial" w:hAnsi="Arial" w:cs="Arial"/>
        </w:rPr>
        <w:br w:type="page"/>
      </w:r>
    </w:p>
    <w:p w14:paraId="51A1B244" w14:textId="4570CDA0" w:rsidR="00601256" w:rsidRPr="004675D3" w:rsidRDefault="00601256" w:rsidP="000F667D">
      <w:pPr>
        <w:pStyle w:val="Emphasis1"/>
        <w:rPr>
          <w:rFonts w:cs="Arial"/>
        </w:rPr>
      </w:pPr>
      <w:r w:rsidRPr="004675D3">
        <w:rPr>
          <w:rFonts w:cs="Arial"/>
        </w:rPr>
        <w:lastRenderedPageBreak/>
        <w:t xml:space="preserve">Mapping of policy documents to the policy </w:t>
      </w:r>
      <w:r w:rsidR="0013146A" w:rsidRPr="004675D3">
        <w:rPr>
          <w:rFonts w:cs="Arial"/>
        </w:rPr>
        <w:t>matrix</w:t>
      </w:r>
    </w:p>
    <w:p w14:paraId="1E7D0125" w14:textId="2E12B25C" w:rsidR="008B52D3" w:rsidRPr="004675D3" w:rsidRDefault="0013146A" w:rsidP="008B52D3">
      <w:pPr>
        <w:rPr>
          <w:rFonts w:ascii="Arial" w:hAnsi="Arial" w:cs="Arial"/>
        </w:rPr>
      </w:pPr>
      <w:r w:rsidRPr="004675D3">
        <w:rPr>
          <w:rFonts w:ascii="Arial" w:hAnsi="Arial" w:cs="Arial"/>
        </w:rPr>
        <w:t>P</w:t>
      </w:r>
      <w:r w:rsidR="008B52D3" w:rsidRPr="004675D3">
        <w:rPr>
          <w:rFonts w:ascii="Arial" w:hAnsi="Arial" w:cs="Arial"/>
        </w:rPr>
        <w:t>oli</w:t>
      </w:r>
      <w:r w:rsidRPr="004675D3">
        <w:rPr>
          <w:rFonts w:ascii="Arial" w:hAnsi="Arial" w:cs="Arial"/>
        </w:rPr>
        <w:t>cies</w:t>
      </w:r>
      <w:r w:rsidR="008B52D3" w:rsidRPr="004675D3">
        <w:rPr>
          <w:rFonts w:ascii="Arial" w:hAnsi="Arial" w:cs="Arial"/>
        </w:rPr>
        <w:t xml:space="preserve">, once coded, </w:t>
      </w:r>
      <w:r w:rsidRPr="004675D3">
        <w:rPr>
          <w:rFonts w:ascii="Arial" w:hAnsi="Arial" w:cs="Arial"/>
        </w:rPr>
        <w:t xml:space="preserve">are </w:t>
      </w:r>
      <w:r w:rsidR="008B52D3" w:rsidRPr="004675D3">
        <w:rPr>
          <w:rFonts w:ascii="Arial" w:hAnsi="Arial" w:cs="Arial"/>
        </w:rPr>
        <w:t xml:space="preserve">mapped to the policy options presented above. </w:t>
      </w:r>
      <w:r w:rsidR="008B52D3" w:rsidRPr="004675D3">
        <w:rPr>
          <w:rFonts w:ascii="Arial" w:hAnsi="Arial" w:cs="Arial"/>
        </w:rPr>
        <w:fldChar w:fldCharType="begin"/>
      </w:r>
      <w:r w:rsidR="008B52D3" w:rsidRPr="004675D3">
        <w:rPr>
          <w:rFonts w:ascii="Arial" w:hAnsi="Arial" w:cs="Arial"/>
        </w:rPr>
        <w:instrText xml:space="preserve"> REF _Ref48835489 \h </w:instrText>
      </w:r>
      <w:r w:rsidR="001F6B76" w:rsidRPr="004675D3">
        <w:rPr>
          <w:rFonts w:ascii="Arial" w:hAnsi="Arial" w:cs="Arial"/>
        </w:rPr>
        <w:instrText xml:space="preserve"> \* MERGEFORMAT </w:instrText>
      </w:r>
      <w:r w:rsidR="008B52D3" w:rsidRPr="004675D3">
        <w:rPr>
          <w:rFonts w:ascii="Arial" w:hAnsi="Arial" w:cs="Arial"/>
        </w:rPr>
      </w:r>
      <w:r w:rsidR="008B52D3" w:rsidRPr="004675D3">
        <w:rPr>
          <w:rFonts w:ascii="Arial" w:hAnsi="Arial" w:cs="Arial"/>
        </w:rPr>
        <w:fldChar w:fldCharType="separate"/>
      </w:r>
      <w:r w:rsidR="007F3B3C" w:rsidRPr="004675D3">
        <w:rPr>
          <w:rFonts w:ascii="Arial" w:hAnsi="Arial" w:cs="Arial"/>
        </w:rPr>
        <w:t xml:space="preserve">Table </w:t>
      </w:r>
      <w:r w:rsidR="007F3B3C">
        <w:rPr>
          <w:rFonts w:ascii="Arial" w:hAnsi="Arial" w:cs="Arial"/>
          <w:noProof/>
        </w:rPr>
        <w:t>8</w:t>
      </w:r>
      <w:r w:rsidR="008B52D3" w:rsidRPr="004675D3">
        <w:rPr>
          <w:rFonts w:ascii="Arial" w:hAnsi="Arial" w:cs="Arial"/>
        </w:rPr>
        <w:fldChar w:fldCharType="end"/>
      </w:r>
      <w:r w:rsidR="008B52D3" w:rsidRPr="004675D3">
        <w:rPr>
          <w:rFonts w:ascii="Arial" w:hAnsi="Arial" w:cs="Arial"/>
        </w:rPr>
        <w:t xml:space="preserve"> presents an overview of the coding per policy option.</w:t>
      </w:r>
    </w:p>
    <w:p w14:paraId="3CA1B34C" w14:textId="5F21AF7A" w:rsidR="008B52D3" w:rsidRPr="004675D3" w:rsidRDefault="0013146A" w:rsidP="008B52D3">
      <w:pPr>
        <w:rPr>
          <w:rFonts w:ascii="Arial" w:hAnsi="Arial" w:cs="Arial"/>
          <w:color w:val="2E74B5" w:themeColor="accent1" w:themeShade="BF"/>
        </w:rPr>
      </w:pPr>
      <w:r w:rsidRPr="004675D3">
        <w:rPr>
          <w:rFonts w:ascii="Arial" w:hAnsi="Arial" w:cs="Arial"/>
          <w:color w:val="2E74B5" w:themeColor="accent1" w:themeShade="BF"/>
        </w:rPr>
        <w:t>Blue</w:t>
      </w:r>
      <w:r w:rsidR="008B52D3" w:rsidRPr="004675D3">
        <w:rPr>
          <w:rFonts w:ascii="Arial" w:hAnsi="Arial" w:cs="Arial"/>
          <w:color w:val="2E74B5" w:themeColor="accent1" w:themeShade="BF"/>
        </w:rPr>
        <w:t xml:space="preserve"> text – coding </w:t>
      </w:r>
      <w:r w:rsidRPr="004675D3">
        <w:rPr>
          <w:rFonts w:ascii="Arial" w:hAnsi="Arial" w:cs="Arial"/>
          <w:color w:val="2E74B5" w:themeColor="accent1" w:themeShade="BF"/>
        </w:rPr>
        <w:t>criteria</w:t>
      </w:r>
    </w:p>
    <w:p w14:paraId="22682FB2" w14:textId="77777777" w:rsidR="008B52D3" w:rsidRPr="004675D3" w:rsidRDefault="008B52D3" w:rsidP="008B52D3">
      <w:pPr>
        <w:rPr>
          <w:rFonts w:ascii="Arial" w:hAnsi="Arial" w:cs="Arial"/>
        </w:rPr>
      </w:pPr>
      <w:r w:rsidRPr="004675D3">
        <w:rPr>
          <w:rFonts w:ascii="Arial" w:hAnsi="Arial" w:cs="Arial"/>
        </w:rPr>
        <w:t>--------------------------------------------</w:t>
      </w:r>
    </w:p>
    <w:p w14:paraId="11FA8547" w14:textId="77777777" w:rsidR="008B52D3" w:rsidRPr="004675D3" w:rsidRDefault="008B52D3" w:rsidP="008B52D3">
      <w:pPr>
        <w:pStyle w:val="ListParagraph"/>
        <w:numPr>
          <w:ilvl w:val="0"/>
          <w:numId w:val="43"/>
        </w:numPr>
        <w:rPr>
          <w:rFonts w:ascii="Arial" w:hAnsi="Arial" w:cs="Arial"/>
        </w:rPr>
      </w:pPr>
      <w:r w:rsidRPr="004675D3">
        <w:rPr>
          <w:rFonts w:ascii="Arial" w:hAnsi="Arial" w:cs="Arial"/>
        </w:rPr>
        <w:t>Any policy document can be categorized into more than one cell – ensure that its applicability to other cells is verified, and that the verification does not stop after one cell is found valid.</w:t>
      </w:r>
    </w:p>
    <w:p w14:paraId="52D79E74" w14:textId="77777777" w:rsidR="008B52D3" w:rsidRPr="004675D3" w:rsidRDefault="008B52D3" w:rsidP="008B52D3">
      <w:pPr>
        <w:spacing w:after="0"/>
        <w:rPr>
          <w:rFonts w:ascii="Arial" w:hAnsi="Arial" w:cs="Arial"/>
        </w:rPr>
      </w:pPr>
      <w:r w:rsidRPr="004675D3">
        <w:rPr>
          <w:rFonts w:ascii="Arial" w:hAnsi="Arial" w:cs="Arial"/>
        </w:rPr>
        <w:t>-------------------------------------</w:t>
      </w:r>
    </w:p>
    <w:p w14:paraId="34E6A1AE" w14:textId="77777777" w:rsidR="008B52D3" w:rsidRPr="004675D3" w:rsidRDefault="008B52D3" w:rsidP="008B52D3">
      <w:pPr>
        <w:spacing w:after="0"/>
        <w:rPr>
          <w:rFonts w:ascii="Arial" w:hAnsi="Arial" w:cs="Arial"/>
        </w:rPr>
      </w:pPr>
      <w:r w:rsidRPr="004675D3">
        <w:rPr>
          <w:rFonts w:ascii="Arial" w:hAnsi="Arial" w:cs="Arial"/>
          <w:b/>
        </w:rPr>
        <w:t>PI</w:t>
      </w:r>
      <w:r w:rsidRPr="004675D3">
        <w:rPr>
          <w:rFonts w:ascii="Arial" w:hAnsi="Arial" w:cs="Arial"/>
        </w:rPr>
        <w:t xml:space="preserve"> – policy instrument</w:t>
      </w:r>
    </w:p>
    <w:p w14:paraId="0ED56C60" w14:textId="77777777" w:rsidR="008B52D3" w:rsidRPr="004675D3" w:rsidRDefault="008B52D3" w:rsidP="008B52D3">
      <w:pPr>
        <w:spacing w:after="0"/>
        <w:rPr>
          <w:rFonts w:ascii="Arial" w:hAnsi="Arial" w:cs="Arial"/>
        </w:rPr>
      </w:pPr>
      <w:r w:rsidRPr="004675D3">
        <w:rPr>
          <w:rFonts w:ascii="Arial" w:hAnsi="Arial" w:cs="Arial"/>
          <w:b/>
        </w:rPr>
        <w:t>PT</w:t>
      </w:r>
      <w:r w:rsidRPr="004675D3">
        <w:rPr>
          <w:rFonts w:ascii="Arial" w:hAnsi="Arial" w:cs="Arial"/>
        </w:rPr>
        <w:t xml:space="preserve"> – policy type</w:t>
      </w:r>
    </w:p>
    <w:p w14:paraId="2CAB6263" w14:textId="77777777" w:rsidR="008B52D3" w:rsidRPr="004675D3" w:rsidRDefault="008B52D3" w:rsidP="008B52D3">
      <w:pPr>
        <w:spacing w:after="0"/>
        <w:rPr>
          <w:rFonts w:ascii="Arial" w:hAnsi="Arial" w:cs="Arial"/>
        </w:rPr>
      </w:pPr>
      <w:r w:rsidRPr="004675D3">
        <w:rPr>
          <w:rFonts w:ascii="Arial" w:hAnsi="Arial" w:cs="Arial"/>
          <w:b/>
        </w:rPr>
        <w:t>S</w:t>
      </w:r>
      <w:r w:rsidRPr="004675D3">
        <w:rPr>
          <w:rFonts w:ascii="Arial" w:hAnsi="Arial" w:cs="Arial"/>
        </w:rPr>
        <w:t xml:space="preserve"> – sector</w:t>
      </w:r>
    </w:p>
    <w:p w14:paraId="45EA3CB1" w14:textId="77777777" w:rsidR="008B52D3" w:rsidRPr="004675D3" w:rsidRDefault="008B52D3" w:rsidP="008B52D3">
      <w:pPr>
        <w:spacing w:after="0"/>
        <w:rPr>
          <w:rFonts w:ascii="Arial" w:hAnsi="Arial" w:cs="Arial"/>
        </w:rPr>
      </w:pPr>
      <w:r w:rsidRPr="004675D3">
        <w:rPr>
          <w:rFonts w:ascii="Arial" w:hAnsi="Arial" w:cs="Arial"/>
          <w:b/>
        </w:rPr>
        <w:t>SS</w:t>
      </w:r>
      <w:r w:rsidRPr="004675D3">
        <w:rPr>
          <w:rFonts w:ascii="Arial" w:hAnsi="Arial" w:cs="Arial"/>
        </w:rPr>
        <w:t xml:space="preserve"> – sub-sector</w:t>
      </w:r>
    </w:p>
    <w:p w14:paraId="46272C24" w14:textId="77777777" w:rsidR="008B52D3" w:rsidRPr="004675D3" w:rsidRDefault="008B52D3" w:rsidP="008B52D3">
      <w:pPr>
        <w:spacing w:after="0"/>
        <w:rPr>
          <w:rFonts w:ascii="Arial" w:hAnsi="Arial" w:cs="Arial"/>
        </w:rPr>
      </w:pPr>
      <w:proofErr w:type="gramStart"/>
      <w:r w:rsidRPr="004675D3">
        <w:rPr>
          <w:rFonts w:ascii="Arial" w:hAnsi="Arial" w:cs="Arial"/>
          <w:b/>
        </w:rPr>
        <w:t>;</w:t>
      </w:r>
      <w:r w:rsidRPr="004675D3">
        <w:rPr>
          <w:rFonts w:ascii="Arial" w:hAnsi="Arial" w:cs="Arial"/>
        </w:rPr>
        <w:t xml:space="preserve">  -</w:t>
      </w:r>
      <w:proofErr w:type="gramEnd"/>
      <w:r w:rsidRPr="004675D3">
        <w:rPr>
          <w:rFonts w:ascii="Arial" w:hAnsi="Arial" w:cs="Arial"/>
        </w:rPr>
        <w:t xml:space="preserve"> or (either of the given options)</w:t>
      </w:r>
    </w:p>
    <w:p w14:paraId="67D532BF" w14:textId="77777777" w:rsidR="008B52D3" w:rsidRPr="004675D3" w:rsidRDefault="008B52D3" w:rsidP="008B52D3">
      <w:pPr>
        <w:rPr>
          <w:rFonts w:ascii="Arial" w:hAnsi="Arial" w:cs="Arial"/>
        </w:rPr>
      </w:pPr>
      <w:r w:rsidRPr="004675D3">
        <w:rPr>
          <w:rFonts w:ascii="Arial" w:hAnsi="Arial" w:cs="Arial"/>
        </w:rPr>
        <w:t>-------------------------------------</w:t>
      </w:r>
    </w:p>
    <w:p w14:paraId="7908C923" w14:textId="3D3C9603" w:rsidR="008B52D3" w:rsidRPr="004675D3" w:rsidRDefault="008B52D3" w:rsidP="008B52D3">
      <w:pPr>
        <w:pStyle w:val="Caption"/>
        <w:keepNext/>
        <w:rPr>
          <w:rFonts w:ascii="Arial" w:hAnsi="Arial" w:cs="Arial"/>
        </w:rPr>
      </w:pPr>
      <w:bookmarkStart w:id="19" w:name="_Ref48835489"/>
      <w:bookmarkStart w:id="20" w:name="_Toc76122090"/>
      <w:r w:rsidRPr="004675D3">
        <w:rPr>
          <w:rFonts w:ascii="Arial" w:hAnsi="Arial" w:cs="Arial"/>
        </w:rPr>
        <w:t xml:space="preserve">Table </w:t>
      </w:r>
      <w:r w:rsidRPr="004675D3">
        <w:rPr>
          <w:rFonts w:ascii="Arial" w:hAnsi="Arial" w:cs="Arial"/>
        </w:rPr>
        <w:fldChar w:fldCharType="begin"/>
      </w:r>
      <w:r w:rsidRPr="004675D3">
        <w:rPr>
          <w:rFonts w:ascii="Arial" w:hAnsi="Arial" w:cs="Arial"/>
        </w:rPr>
        <w:instrText xml:space="preserve"> SEQ Table \* ARABIC </w:instrText>
      </w:r>
      <w:r w:rsidRPr="004675D3">
        <w:rPr>
          <w:rFonts w:ascii="Arial" w:hAnsi="Arial" w:cs="Arial"/>
        </w:rPr>
        <w:fldChar w:fldCharType="separate"/>
      </w:r>
      <w:r w:rsidR="007F3B3C">
        <w:rPr>
          <w:rFonts w:ascii="Arial" w:hAnsi="Arial" w:cs="Arial"/>
          <w:noProof/>
        </w:rPr>
        <w:t>8</w:t>
      </w:r>
      <w:r w:rsidRPr="004675D3">
        <w:rPr>
          <w:rFonts w:ascii="Arial" w:hAnsi="Arial" w:cs="Arial"/>
        </w:rPr>
        <w:fldChar w:fldCharType="end"/>
      </w:r>
      <w:bookmarkEnd w:id="19"/>
      <w:r w:rsidRPr="004675D3">
        <w:rPr>
          <w:rFonts w:ascii="Arial" w:hAnsi="Arial" w:cs="Arial"/>
        </w:rPr>
        <w:t xml:space="preserve"> Mapping of policy documents to policy options</w:t>
      </w:r>
      <w:bookmarkEnd w:id="20"/>
      <w:r w:rsidRPr="004675D3">
        <w:rPr>
          <w:rFonts w:ascii="Arial" w:hAnsi="Arial" w:cs="Arial"/>
        </w:rPr>
        <w:t xml:space="preserve"> </w:t>
      </w:r>
    </w:p>
    <w:tbl>
      <w:tblPr>
        <w:tblStyle w:val="GridTable1Light"/>
        <w:tblW w:w="5000" w:type="pct"/>
        <w:tblLook w:val="04A0" w:firstRow="1" w:lastRow="0" w:firstColumn="1" w:lastColumn="0" w:noHBand="0" w:noVBand="1"/>
      </w:tblPr>
      <w:tblGrid>
        <w:gridCol w:w="1070"/>
        <w:gridCol w:w="1309"/>
        <w:gridCol w:w="1724"/>
        <w:gridCol w:w="1984"/>
        <w:gridCol w:w="1469"/>
        <w:gridCol w:w="1460"/>
      </w:tblGrid>
      <w:tr w:rsidR="00931AE8" w:rsidRPr="004675D3" w14:paraId="6D17868C" w14:textId="77777777" w:rsidTr="00E255EC">
        <w:trPr>
          <w:cnfStyle w:val="100000000000" w:firstRow="1" w:lastRow="0" w:firstColumn="0" w:lastColumn="0" w:oddVBand="0" w:evenVBand="0" w:oddHBand="0" w:evenHBand="0" w:firstRowFirstColumn="0" w:firstRowLastColumn="0" w:lastRowFirstColumn="0" w:lastRowLastColumn="0"/>
          <w:trHeight w:val="272"/>
          <w:tblHeader/>
        </w:trPr>
        <w:tc>
          <w:tcPr>
            <w:cnfStyle w:val="001000000000" w:firstRow="0" w:lastRow="0" w:firstColumn="1" w:lastColumn="0" w:oddVBand="0" w:evenVBand="0" w:oddHBand="0" w:evenHBand="0" w:firstRowFirstColumn="0" w:firstRowLastColumn="0" w:lastRowFirstColumn="0" w:lastRowLastColumn="0"/>
            <w:tcW w:w="591" w:type="pct"/>
            <w:tcBorders>
              <w:bottom w:val="none" w:sz="0" w:space="0" w:color="auto"/>
            </w:tcBorders>
          </w:tcPr>
          <w:p w14:paraId="7EDDCF04" w14:textId="77777777" w:rsidR="00931AE8" w:rsidRPr="004675D3" w:rsidRDefault="00931AE8" w:rsidP="00E255EC">
            <w:pPr>
              <w:spacing w:line="240" w:lineRule="auto"/>
              <w:rPr>
                <w:rFonts w:ascii="Arial" w:hAnsi="Arial" w:cs="Arial"/>
                <w:sz w:val="16"/>
                <w:szCs w:val="16"/>
              </w:rPr>
            </w:pPr>
          </w:p>
        </w:tc>
        <w:tc>
          <w:tcPr>
            <w:tcW w:w="722" w:type="pct"/>
            <w:tcBorders>
              <w:bottom w:val="none" w:sz="0" w:space="0" w:color="auto"/>
            </w:tcBorders>
          </w:tcPr>
          <w:p w14:paraId="1E5BD952" w14:textId="77777777" w:rsidR="00931AE8" w:rsidRPr="004675D3" w:rsidRDefault="00931AE8" w:rsidP="00E255EC">
            <w:pPr>
              <w:spacing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r w:rsidRPr="004675D3">
              <w:rPr>
                <w:rFonts w:ascii="Arial" w:hAnsi="Arial" w:cs="Arial"/>
                <w:sz w:val="16"/>
                <w:szCs w:val="16"/>
              </w:rPr>
              <w:t>Energy service demand reduction and resource efficiency</w:t>
            </w:r>
          </w:p>
        </w:tc>
        <w:tc>
          <w:tcPr>
            <w:tcW w:w="958" w:type="pct"/>
            <w:tcBorders>
              <w:bottom w:val="none" w:sz="0" w:space="0" w:color="auto"/>
            </w:tcBorders>
          </w:tcPr>
          <w:p w14:paraId="44ACF063" w14:textId="77777777" w:rsidR="00931AE8" w:rsidRPr="004675D3" w:rsidRDefault="00931AE8" w:rsidP="00E255EC">
            <w:pPr>
              <w:spacing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r w:rsidRPr="004675D3">
              <w:rPr>
                <w:rFonts w:ascii="Arial" w:hAnsi="Arial" w:cs="Arial"/>
                <w:sz w:val="16"/>
                <w:szCs w:val="16"/>
              </w:rPr>
              <w:t>Energy efficiency</w:t>
            </w:r>
          </w:p>
        </w:tc>
        <w:tc>
          <w:tcPr>
            <w:tcW w:w="1102" w:type="pct"/>
            <w:tcBorders>
              <w:bottom w:val="none" w:sz="0" w:space="0" w:color="auto"/>
            </w:tcBorders>
          </w:tcPr>
          <w:p w14:paraId="398ED863" w14:textId="77777777" w:rsidR="00931AE8" w:rsidRPr="004675D3" w:rsidRDefault="00931AE8" w:rsidP="00E255EC">
            <w:pPr>
              <w:spacing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r w:rsidRPr="004675D3">
              <w:rPr>
                <w:rFonts w:ascii="Arial" w:hAnsi="Arial" w:cs="Arial"/>
                <w:sz w:val="16"/>
                <w:szCs w:val="16"/>
              </w:rPr>
              <w:t>Renewables</w:t>
            </w:r>
          </w:p>
        </w:tc>
        <w:tc>
          <w:tcPr>
            <w:tcW w:w="816" w:type="pct"/>
            <w:tcBorders>
              <w:bottom w:val="none" w:sz="0" w:space="0" w:color="auto"/>
            </w:tcBorders>
          </w:tcPr>
          <w:p w14:paraId="38102050" w14:textId="77777777" w:rsidR="00931AE8" w:rsidRPr="004675D3" w:rsidRDefault="00931AE8" w:rsidP="00E255EC">
            <w:pPr>
              <w:spacing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r w:rsidRPr="004675D3">
              <w:rPr>
                <w:rFonts w:ascii="Arial" w:hAnsi="Arial" w:cs="Arial"/>
                <w:sz w:val="16"/>
                <w:szCs w:val="16"/>
              </w:rPr>
              <w:t>Other low-carbon technologies and fuel switch</w:t>
            </w:r>
          </w:p>
        </w:tc>
        <w:tc>
          <w:tcPr>
            <w:tcW w:w="812" w:type="pct"/>
            <w:tcBorders>
              <w:bottom w:val="none" w:sz="0" w:space="0" w:color="auto"/>
            </w:tcBorders>
          </w:tcPr>
          <w:p w14:paraId="5DB46870" w14:textId="77777777" w:rsidR="00931AE8" w:rsidRPr="004675D3" w:rsidRDefault="00931AE8" w:rsidP="00E255EC">
            <w:pPr>
              <w:spacing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r w:rsidRPr="004675D3">
              <w:rPr>
                <w:rFonts w:ascii="Arial" w:hAnsi="Arial" w:cs="Arial"/>
                <w:sz w:val="16"/>
                <w:szCs w:val="16"/>
              </w:rPr>
              <w:t>Non-energy</w:t>
            </w:r>
          </w:p>
        </w:tc>
      </w:tr>
      <w:tr w:rsidR="00931AE8" w:rsidRPr="004675D3" w14:paraId="528F2988" w14:textId="77777777" w:rsidTr="00E255EC">
        <w:tc>
          <w:tcPr>
            <w:cnfStyle w:val="001000000000" w:firstRow="0" w:lastRow="0" w:firstColumn="1" w:lastColumn="0" w:oddVBand="0" w:evenVBand="0" w:oddHBand="0" w:evenHBand="0" w:firstRowFirstColumn="0" w:firstRowLastColumn="0" w:lastRowFirstColumn="0" w:lastRowLastColumn="0"/>
            <w:tcW w:w="591" w:type="pct"/>
            <w:vMerge w:val="restart"/>
          </w:tcPr>
          <w:p w14:paraId="3A919E59" w14:textId="77777777" w:rsidR="00931AE8" w:rsidRPr="004675D3" w:rsidRDefault="00931AE8" w:rsidP="00E255EC">
            <w:pPr>
              <w:spacing w:line="240" w:lineRule="auto"/>
              <w:rPr>
                <w:rFonts w:ascii="Arial" w:hAnsi="Arial" w:cs="Arial"/>
                <w:b w:val="0"/>
                <w:sz w:val="16"/>
                <w:szCs w:val="16"/>
              </w:rPr>
            </w:pPr>
            <w:r w:rsidRPr="004675D3">
              <w:rPr>
                <w:rFonts w:ascii="Arial" w:hAnsi="Arial" w:cs="Arial"/>
                <w:sz w:val="16"/>
                <w:szCs w:val="16"/>
              </w:rPr>
              <w:t xml:space="preserve">General </w:t>
            </w:r>
          </w:p>
          <w:p w14:paraId="7F748EF9" w14:textId="77777777" w:rsidR="00931AE8" w:rsidRPr="004675D3" w:rsidRDefault="00931AE8" w:rsidP="00E255EC">
            <w:pPr>
              <w:spacing w:line="240" w:lineRule="auto"/>
              <w:rPr>
                <w:rFonts w:ascii="Arial" w:hAnsi="Arial" w:cs="Arial"/>
                <w:b w:val="0"/>
                <w:sz w:val="16"/>
                <w:szCs w:val="16"/>
              </w:rPr>
            </w:pPr>
          </w:p>
        </w:tc>
        <w:tc>
          <w:tcPr>
            <w:tcW w:w="4409" w:type="pct"/>
            <w:gridSpan w:val="5"/>
          </w:tcPr>
          <w:p w14:paraId="359DF413"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Climate strategy </w:t>
            </w:r>
            <w:r w:rsidRPr="004675D3">
              <w:rPr>
                <w:rFonts w:ascii="Arial" w:hAnsi="Arial" w:cs="Arial"/>
                <w:color w:val="2E74B5" w:themeColor="accent1" w:themeShade="BF"/>
                <w:sz w:val="16"/>
                <w:szCs w:val="16"/>
              </w:rPr>
              <w:t>(PI: Climate Strategy, PT: any, S: any)</w:t>
            </w:r>
          </w:p>
          <w:p w14:paraId="07A93C12"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GHG reduction target (</w:t>
            </w:r>
            <w:r w:rsidRPr="004675D3">
              <w:rPr>
                <w:rFonts w:ascii="Arial" w:hAnsi="Arial" w:cs="Arial"/>
                <w:color w:val="2E74B5" w:themeColor="accent1" w:themeShade="BF"/>
                <w:sz w:val="16"/>
                <w:szCs w:val="16"/>
              </w:rPr>
              <w:t>PI: GHG reduction target, PT: any, S: any</w:t>
            </w:r>
            <w:r w:rsidRPr="004675D3">
              <w:rPr>
                <w:rFonts w:ascii="Arial" w:hAnsi="Arial" w:cs="Arial"/>
                <w:sz w:val="16"/>
                <w:szCs w:val="16"/>
              </w:rPr>
              <w:t>)</w:t>
            </w:r>
          </w:p>
          <w:p w14:paraId="027236BD"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Coordinating body for climate strategy </w:t>
            </w:r>
            <w:r w:rsidRPr="004675D3">
              <w:rPr>
                <w:rFonts w:ascii="Arial" w:hAnsi="Arial" w:cs="Arial"/>
                <w:color w:val="2E74B5" w:themeColor="accent1" w:themeShade="BF"/>
                <w:sz w:val="16"/>
                <w:szCs w:val="16"/>
              </w:rPr>
              <w:t>(PI: Coordinating body for the climate strategy, PT: any, S: Any)</w:t>
            </w:r>
          </w:p>
          <w:p w14:paraId="72AAACFA"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No fossil fuel subsidies </w:t>
            </w:r>
            <w:r w:rsidRPr="004675D3">
              <w:rPr>
                <w:rFonts w:ascii="Arial" w:hAnsi="Arial" w:cs="Arial"/>
                <w:color w:val="2E74B5" w:themeColor="accent1" w:themeShade="BF"/>
                <w:sz w:val="16"/>
                <w:szCs w:val="16"/>
              </w:rPr>
              <w:t xml:space="preserve">(PI: Removal of fossil-fuel subsidies, PT: Any, S: General, SS: Any </w:t>
            </w:r>
          </w:p>
          <w:p w14:paraId="18BAD522"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for low-emission or negative emissions R&amp;D </w:t>
            </w:r>
            <w:r w:rsidRPr="004675D3">
              <w:rPr>
                <w:rFonts w:ascii="Arial" w:hAnsi="Arial" w:cs="Arial"/>
                <w:color w:val="2E74B5" w:themeColor="accent1" w:themeShade="BF"/>
                <w:sz w:val="16"/>
                <w:szCs w:val="16"/>
              </w:rPr>
              <w:t xml:space="preserve">(PI:  Research &amp; Development and Deployment (RD&amp;D); RD&amp;D funding, PT: any, S: Any) </w:t>
            </w:r>
          </w:p>
        </w:tc>
      </w:tr>
      <w:tr w:rsidR="00931AE8" w:rsidRPr="004675D3" w14:paraId="45D28E2E" w14:textId="77777777" w:rsidTr="00E255EC">
        <w:trPr>
          <w:trHeight w:val="861"/>
        </w:trPr>
        <w:tc>
          <w:tcPr>
            <w:cnfStyle w:val="001000000000" w:firstRow="0" w:lastRow="0" w:firstColumn="1" w:lastColumn="0" w:oddVBand="0" w:evenVBand="0" w:oddHBand="0" w:evenHBand="0" w:firstRowFirstColumn="0" w:firstRowLastColumn="0" w:lastRowFirstColumn="0" w:lastRowLastColumn="0"/>
            <w:tcW w:w="591" w:type="pct"/>
            <w:vMerge/>
          </w:tcPr>
          <w:p w14:paraId="59391860" w14:textId="77777777" w:rsidR="00931AE8" w:rsidRPr="004675D3" w:rsidRDefault="00931AE8" w:rsidP="00E255EC">
            <w:pPr>
              <w:spacing w:line="240" w:lineRule="auto"/>
              <w:rPr>
                <w:rFonts w:ascii="Arial" w:hAnsi="Arial" w:cs="Arial"/>
                <w:b w:val="0"/>
                <w:sz w:val="16"/>
                <w:szCs w:val="16"/>
              </w:rPr>
            </w:pPr>
          </w:p>
        </w:tc>
        <w:tc>
          <w:tcPr>
            <w:tcW w:w="722" w:type="pct"/>
          </w:tcPr>
          <w:p w14:paraId="7E691022" w14:textId="77777777" w:rsidR="00931AE8" w:rsidRPr="004675D3" w:rsidRDefault="00931AE8" w:rsidP="00E255EC">
            <w:pPr>
              <w:pStyle w:val="ListParagraph"/>
              <w:spacing w:line="240" w:lineRule="auto"/>
              <w:ind w:left="114"/>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958" w:type="pct"/>
          </w:tcPr>
          <w:p w14:paraId="1F9CF2D2"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Economy-wide energy efficiency target </w:t>
            </w:r>
            <w:r w:rsidRPr="004675D3">
              <w:rPr>
                <w:rFonts w:ascii="Arial" w:hAnsi="Arial" w:cs="Arial"/>
                <w:color w:val="2E74B5" w:themeColor="accent1" w:themeShade="BF"/>
                <w:sz w:val="16"/>
                <w:szCs w:val="16"/>
              </w:rPr>
              <w:t>(PI: Energy efficiency target; PT: Energy efficiency, S: either “general” or more than 1 sector)</w:t>
            </w:r>
          </w:p>
        </w:tc>
        <w:tc>
          <w:tcPr>
            <w:tcW w:w="1102" w:type="pct"/>
          </w:tcPr>
          <w:p w14:paraId="631C2F8A"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Renewable target for primary energy</w:t>
            </w:r>
            <w:r w:rsidRPr="004675D3" w:rsidDel="004368F4">
              <w:rPr>
                <w:rFonts w:ascii="Arial" w:hAnsi="Arial" w:cs="Arial"/>
                <w:sz w:val="16"/>
                <w:szCs w:val="16"/>
              </w:rPr>
              <w:t xml:space="preserve"> </w:t>
            </w:r>
            <w:r w:rsidRPr="004675D3">
              <w:rPr>
                <w:rFonts w:ascii="Arial" w:hAnsi="Arial" w:cs="Arial"/>
                <w:color w:val="2E74B5" w:themeColor="accent1" w:themeShade="BF"/>
                <w:sz w:val="16"/>
                <w:szCs w:val="16"/>
              </w:rPr>
              <w:t>(PI: Renewable energy target. PT: Renewables, S: either “general” or more than 1 sector)</w:t>
            </w:r>
          </w:p>
        </w:tc>
        <w:tc>
          <w:tcPr>
            <w:tcW w:w="816" w:type="pct"/>
          </w:tcPr>
          <w:p w14:paraId="4B58A563" w14:textId="77777777" w:rsidR="00931AE8" w:rsidRPr="004675D3" w:rsidRDefault="00931AE8" w:rsidP="00E255EC">
            <w:pPr>
              <w:pStyle w:val="ListParagraph"/>
              <w:spacing w:line="240" w:lineRule="auto"/>
              <w:ind w:left="114"/>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12" w:type="pct"/>
          </w:tcPr>
          <w:p w14:paraId="22CDA228" w14:textId="77777777" w:rsidR="00931AE8" w:rsidRPr="004675D3" w:rsidRDefault="00931AE8" w:rsidP="00E255EC">
            <w:pPr>
              <w:pStyle w:val="ListParagraph"/>
              <w:spacing w:line="240" w:lineRule="auto"/>
              <w:ind w:left="114"/>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931AE8" w:rsidRPr="004675D3" w14:paraId="75701D6C" w14:textId="77777777" w:rsidTr="00E255EC">
        <w:tc>
          <w:tcPr>
            <w:cnfStyle w:val="001000000000" w:firstRow="0" w:lastRow="0" w:firstColumn="1" w:lastColumn="0" w:oddVBand="0" w:evenVBand="0" w:oddHBand="0" w:evenHBand="0" w:firstRowFirstColumn="0" w:firstRowLastColumn="0" w:lastRowFirstColumn="0" w:lastRowLastColumn="0"/>
            <w:tcW w:w="591" w:type="pct"/>
            <w:vMerge w:val="restart"/>
          </w:tcPr>
          <w:p w14:paraId="39A556A6" w14:textId="77777777" w:rsidR="00931AE8" w:rsidRPr="004675D3" w:rsidRDefault="00931AE8" w:rsidP="00E255EC">
            <w:pPr>
              <w:spacing w:line="240" w:lineRule="auto"/>
              <w:rPr>
                <w:rFonts w:ascii="Arial" w:hAnsi="Arial" w:cs="Arial"/>
                <w:b w:val="0"/>
                <w:sz w:val="16"/>
                <w:szCs w:val="16"/>
              </w:rPr>
            </w:pPr>
            <w:r w:rsidRPr="004675D3">
              <w:rPr>
                <w:rFonts w:ascii="Arial" w:hAnsi="Arial" w:cs="Arial"/>
                <w:sz w:val="16"/>
                <w:szCs w:val="16"/>
              </w:rPr>
              <w:t>Electricity and heat</w:t>
            </w:r>
          </w:p>
        </w:tc>
        <w:tc>
          <w:tcPr>
            <w:tcW w:w="722" w:type="pct"/>
          </w:tcPr>
          <w:p w14:paraId="16F9F347" w14:textId="77777777" w:rsidR="00931AE8" w:rsidRPr="004675D3" w:rsidRDefault="00931AE8" w:rsidP="00E255EC">
            <w:pPr>
              <w:pStyle w:val="ListParagraph"/>
              <w:spacing w:line="240" w:lineRule="auto"/>
              <w:ind w:left="114"/>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958" w:type="pct"/>
          </w:tcPr>
          <w:p w14:paraId="0DF69D86"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6"/>
                <w:szCs w:val="16"/>
              </w:rPr>
            </w:pPr>
            <w:r w:rsidRPr="004675D3">
              <w:rPr>
                <w:rFonts w:ascii="Arial" w:hAnsi="Arial" w:cs="Arial"/>
                <w:sz w:val="16"/>
                <w:szCs w:val="16"/>
              </w:rPr>
              <w:t xml:space="preserve">Support for highly efficient power plant stock </w:t>
            </w:r>
            <w:r w:rsidRPr="004675D3">
              <w:rPr>
                <w:rFonts w:ascii="Arial" w:hAnsi="Arial" w:cs="Arial"/>
                <w:color w:val="2E74B5" w:themeColor="accent1" w:themeShade="BF"/>
                <w:sz w:val="16"/>
                <w:szCs w:val="16"/>
              </w:rPr>
              <w:t>(PI: Codes and standards; Fiscal/financial incentives, PT: Energy efficiency, S: Electricity and heat, SS: any)</w:t>
            </w:r>
          </w:p>
          <w:p w14:paraId="4905D008"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Energy reduction obligation schemes </w:t>
            </w:r>
            <w:r w:rsidRPr="004675D3">
              <w:rPr>
                <w:rFonts w:ascii="Arial" w:hAnsi="Arial" w:cs="Arial"/>
                <w:color w:val="2E74B5" w:themeColor="accent1" w:themeShade="BF"/>
                <w:sz w:val="16"/>
                <w:szCs w:val="16"/>
              </w:rPr>
              <w:t>(PI: Obligation schemes, PT: Energy efficiency, S: Electricity and heat, SS: any)</w:t>
            </w:r>
          </w:p>
        </w:tc>
        <w:tc>
          <w:tcPr>
            <w:tcW w:w="1102" w:type="pct"/>
          </w:tcPr>
          <w:p w14:paraId="7F0A9F24"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Renewable energy target for electricity sector </w:t>
            </w:r>
            <w:r w:rsidRPr="004675D3">
              <w:rPr>
                <w:rFonts w:ascii="Arial" w:hAnsi="Arial" w:cs="Arial"/>
                <w:color w:val="2E74B5" w:themeColor="accent1" w:themeShade="BF"/>
                <w:sz w:val="16"/>
                <w:szCs w:val="16"/>
              </w:rPr>
              <w:t>(PI: Renewable energy target. PT: any, S: electricity and heat)</w:t>
            </w:r>
          </w:p>
          <w:p w14:paraId="558818EB"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scheme for renewables </w:t>
            </w:r>
            <w:r w:rsidRPr="004675D3">
              <w:rPr>
                <w:rFonts w:ascii="Arial" w:hAnsi="Arial" w:cs="Arial"/>
                <w:color w:val="2E74B5" w:themeColor="accent1" w:themeShade="BF"/>
                <w:sz w:val="16"/>
                <w:szCs w:val="16"/>
              </w:rPr>
              <w:t>(PI: green certificates; fiscal/financial incentives; obligation schemes; net metering; direct investment, PT: Renewables, S: Electricity and heat, SS: any)</w:t>
            </w:r>
          </w:p>
          <w:p w14:paraId="6130DE7D"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Grid infrastructure development and electricity storage </w:t>
            </w:r>
            <w:r w:rsidRPr="004675D3">
              <w:rPr>
                <w:rFonts w:ascii="Arial" w:hAnsi="Arial" w:cs="Arial"/>
                <w:color w:val="2E74B5" w:themeColor="accent1" w:themeShade="BF"/>
                <w:sz w:val="16"/>
                <w:szCs w:val="16"/>
              </w:rPr>
              <w:t>(PI: Infrastructure investments, Grid access and priority for renewables, PT: Any, S: Electricity and heat, SS: any)</w:t>
            </w:r>
          </w:p>
        </w:tc>
        <w:tc>
          <w:tcPr>
            <w:tcW w:w="816" w:type="pct"/>
          </w:tcPr>
          <w:p w14:paraId="2AD44990"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Coal and oil phase-out policies </w:t>
            </w:r>
            <w:r w:rsidRPr="004675D3">
              <w:rPr>
                <w:rFonts w:ascii="Arial" w:hAnsi="Arial" w:cs="Arial"/>
                <w:color w:val="2E74B5" w:themeColor="accent1" w:themeShade="BF"/>
                <w:sz w:val="16"/>
                <w:szCs w:val="16"/>
              </w:rPr>
              <w:t>(PI: Strategic planning, PT: Other low-carbon technologies and fuel switch, S: Electricity and heat, SS: Coal)</w:t>
            </w:r>
          </w:p>
          <w:p w14:paraId="2D16DF39"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scheme for CCS </w:t>
            </w:r>
            <w:r w:rsidRPr="004675D3">
              <w:rPr>
                <w:rFonts w:ascii="Arial" w:hAnsi="Arial" w:cs="Arial"/>
                <w:color w:val="2E74B5" w:themeColor="accent1" w:themeShade="BF"/>
                <w:sz w:val="16"/>
                <w:szCs w:val="16"/>
              </w:rPr>
              <w:t xml:space="preserve">(PI: Fiscal/financial incentives; Demonstration project, Infrastructure investments, PT: Other low-carbon technologies and fuel switch, S: Electricity </w:t>
            </w:r>
            <w:r w:rsidRPr="004675D3">
              <w:rPr>
                <w:rFonts w:ascii="Arial" w:hAnsi="Arial" w:cs="Arial"/>
                <w:color w:val="2E74B5" w:themeColor="accent1" w:themeShade="BF"/>
                <w:sz w:val="16"/>
                <w:szCs w:val="16"/>
              </w:rPr>
              <w:lastRenderedPageBreak/>
              <w:t>and heat, SS: CCS)</w:t>
            </w:r>
          </w:p>
          <w:p w14:paraId="617E533D"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for non-renewable low-carbon alternatives </w:t>
            </w:r>
            <w:r w:rsidRPr="004675D3">
              <w:rPr>
                <w:rFonts w:ascii="Arial" w:hAnsi="Arial" w:cs="Arial"/>
                <w:color w:val="2E74B5" w:themeColor="accent1" w:themeShade="BF"/>
                <w:sz w:val="16"/>
                <w:szCs w:val="16"/>
              </w:rPr>
              <w:t>(PI: Fiscal/financial incentives; direct investment; Sectoral Standards, PT: Other low-carbon technologies and fuel switch, S: Electricity and heat, SS: Any)</w:t>
            </w:r>
          </w:p>
        </w:tc>
        <w:tc>
          <w:tcPr>
            <w:tcW w:w="812" w:type="pct"/>
            <w:vMerge w:val="restart"/>
          </w:tcPr>
          <w:p w14:paraId="464C3A94" w14:textId="77777777" w:rsidR="00931AE8" w:rsidRPr="004675D3" w:rsidRDefault="00931AE8" w:rsidP="00E255EC">
            <w:pPr>
              <w:pStyle w:val="ListParagraph"/>
              <w:spacing w:line="240" w:lineRule="auto"/>
              <w:ind w:left="114"/>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931AE8" w:rsidRPr="004675D3" w14:paraId="1AF721EF" w14:textId="77777777" w:rsidTr="00E255EC">
        <w:tc>
          <w:tcPr>
            <w:cnfStyle w:val="001000000000" w:firstRow="0" w:lastRow="0" w:firstColumn="1" w:lastColumn="0" w:oddVBand="0" w:evenVBand="0" w:oddHBand="0" w:evenHBand="0" w:firstRowFirstColumn="0" w:firstRowLastColumn="0" w:lastRowFirstColumn="0" w:lastRowLastColumn="0"/>
            <w:tcW w:w="591" w:type="pct"/>
            <w:vMerge/>
          </w:tcPr>
          <w:p w14:paraId="6925BA62" w14:textId="77777777" w:rsidR="00931AE8" w:rsidRPr="004675D3" w:rsidRDefault="00931AE8" w:rsidP="00E255EC">
            <w:pPr>
              <w:spacing w:line="240" w:lineRule="auto"/>
              <w:rPr>
                <w:rFonts w:ascii="Arial" w:hAnsi="Arial" w:cs="Arial"/>
                <w:b w:val="0"/>
                <w:sz w:val="16"/>
                <w:szCs w:val="16"/>
              </w:rPr>
            </w:pPr>
          </w:p>
        </w:tc>
        <w:tc>
          <w:tcPr>
            <w:tcW w:w="3597" w:type="pct"/>
            <w:gridSpan w:val="4"/>
          </w:tcPr>
          <w:p w14:paraId="676C2F12"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Overarching carbon pricing scheme </w:t>
            </w:r>
            <w:r w:rsidRPr="004675D3">
              <w:rPr>
                <w:rFonts w:ascii="Arial" w:hAnsi="Arial" w:cs="Arial"/>
                <w:color w:val="2E74B5" w:themeColor="accent1" w:themeShade="BF"/>
                <w:sz w:val="16"/>
                <w:szCs w:val="16"/>
              </w:rPr>
              <w:t>(PI: GHG emissions allowances; GHG emission reduction crediting and offsetting mechanism; CO2 taxes, PT: Any, S: Electricity and heat, SS: Any)</w:t>
            </w:r>
          </w:p>
          <w:p w14:paraId="3C56ADD7"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Energy and other taxes </w:t>
            </w:r>
            <w:r w:rsidRPr="004675D3">
              <w:rPr>
                <w:rFonts w:ascii="Arial" w:hAnsi="Arial" w:cs="Arial"/>
                <w:color w:val="2E74B5" w:themeColor="accent1" w:themeShade="BF"/>
                <w:sz w:val="16"/>
                <w:szCs w:val="16"/>
              </w:rPr>
              <w:t>(PI: Energy and other taxes, PT: Any, S: Electricity and heat, SS: Any)</w:t>
            </w:r>
          </w:p>
        </w:tc>
        <w:tc>
          <w:tcPr>
            <w:tcW w:w="812" w:type="pct"/>
            <w:vMerge/>
          </w:tcPr>
          <w:p w14:paraId="6457E4F3"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color w:val="FF0000"/>
                <w:sz w:val="16"/>
                <w:szCs w:val="16"/>
              </w:rPr>
            </w:pPr>
          </w:p>
        </w:tc>
      </w:tr>
      <w:tr w:rsidR="00931AE8" w:rsidRPr="004675D3" w14:paraId="66AE1ADD" w14:textId="77777777" w:rsidTr="00E255EC">
        <w:trPr>
          <w:trHeight w:val="2792"/>
        </w:trPr>
        <w:tc>
          <w:tcPr>
            <w:cnfStyle w:val="001000000000" w:firstRow="0" w:lastRow="0" w:firstColumn="1" w:lastColumn="0" w:oddVBand="0" w:evenVBand="0" w:oddHBand="0" w:evenHBand="0" w:firstRowFirstColumn="0" w:firstRowLastColumn="0" w:lastRowFirstColumn="0" w:lastRowLastColumn="0"/>
            <w:tcW w:w="591" w:type="pct"/>
            <w:vMerge w:val="restart"/>
          </w:tcPr>
          <w:p w14:paraId="15DD97A2" w14:textId="77777777" w:rsidR="00931AE8" w:rsidRPr="004675D3" w:rsidRDefault="00931AE8" w:rsidP="00E255EC">
            <w:pPr>
              <w:spacing w:line="240" w:lineRule="auto"/>
              <w:rPr>
                <w:rFonts w:ascii="Arial" w:hAnsi="Arial" w:cs="Arial"/>
                <w:b w:val="0"/>
                <w:sz w:val="16"/>
                <w:szCs w:val="16"/>
              </w:rPr>
            </w:pPr>
            <w:r w:rsidRPr="004675D3">
              <w:rPr>
                <w:rFonts w:ascii="Arial" w:hAnsi="Arial" w:cs="Arial"/>
                <w:sz w:val="16"/>
                <w:szCs w:val="16"/>
              </w:rPr>
              <w:t>Industry</w:t>
            </w:r>
          </w:p>
        </w:tc>
        <w:tc>
          <w:tcPr>
            <w:tcW w:w="722" w:type="pct"/>
          </w:tcPr>
          <w:p w14:paraId="710ED21A"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Strategy for material efficiency </w:t>
            </w:r>
            <w:r w:rsidRPr="004675D3">
              <w:rPr>
                <w:rFonts w:ascii="Arial" w:hAnsi="Arial" w:cs="Arial"/>
                <w:color w:val="2E74B5" w:themeColor="accent1" w:themeShade="BF"/>
                <w:sz w:val="16"/>
                <w:szCs w:val="16"/>
              </w:rPr>
              <w:t>(PI: Codes and standards; Other mandatory requirements, PT: Energy service demand reduction and resource efficiency, S: Industry, SS: any)</w:t>
            </w:r>
          </w:p>
          <w:p w14:paraId="609F2EBF" w14:textId="77777777" w:rsidR="00931AE8" w:rsidRPr="004675D3" w:rsidRDefault="00931AE8" w:rsidP="00E255EC">
            <w:pPr>
              <w:pStyle w:val="ListParagraph"/>
              <w:spacing w:line="240" w:lineRule="auto"/>
              <w:ind w:left="114"/>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958" w:type="pct"/>
          </w:tcPr>
          <w:p w14:paraId="55D1469A"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for energy efficiency in industrial production </w:t>
            </w:r>
            <w:r w:rsidRPr="004675D3">
              <w:rPr>
                <w:rFonts w:ascii="Arial" w:hAnsi="Arial" w:cs="Arial"/>
                <w:color w:val="2E74B5" w:themeColor="accent1" w:themeShade="BF"/>
                <w:sz w:val="16"/>
                <w:szCs w:val="16"/>
              </w:rPr>
              <w:t>(PI: Voluntary approaches; Fiscal/financial incentives; Obligation schemes; White certificates, PT: Energy efficiency, S: Industry, SS: any)</w:t>
            </w:r>
          </w:p>
          <w:p w14:paraId="588E6D64"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Energy reporting and audits</w:t>
            </w:r>
            <w:r w:rsidRPr="004675D3">
              <w:rPr>
                <w:rFonts w:ascii="Arial" w:hAnsi="Arial" w:cs="Arial"/>
                <w:color w:val="2E74B5" w:themeColor="accent1" w:themeShade="BF"/>
                <w:sz w:val="16"/>
                <w:szCs w:val="16"/>
              </w:rPr>
              <w:t xml:space="preserve"> (PI: Auditing; Monitoring, PT: Energy efficiency, S: Industry, SS: any)</w:t>
            </w:r>
          </w:p>
          <w:p w14:paraId="6B07814C"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Performance and equipment standards</w:t>
            </w:r>
            <w:r w:rsidRPr="004675D3">
              <w:rPr>
                <w:rFonts w:ascii="Arial" w:hAnsi="Arial" w:cs="Arial"/>
                <w:color w:val="2E74B5" w:themeColor="accent1" w:themeShade="BF"/>
                <w:sz w:val="16"/>
                <w:szCs w:val="16"/>
              </w:rPr>
              <w:t xml:space="preserve"> (PI: Codes and standards, PT: Energy efficiency, S: Industry, SS: any)</w:t>
            </w:r>
          </w:p>
        </w:tc>
        <w:tc>
          <w:tcPr>
            <w:tcW w:w="1102" w:type="pct"/>
          </w:tcPr>
          <w:p w14:paraId="19F83700"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color w:val="2E74B5" w:themeColor="accent1" w:themeShade="BF"/>
                <w:sz w:val="16"/>
                <w:szCs w:val="16"/>
              </w:rPr>
            </w:pPr>
            <w:r w:rsidRPr="004675D3">
              <w:rPr>
                <w:rFonts w:ascii="Arial" w:hAnsi="Arial" w:cs="Arial"/>
                <w:sz w:val="16"/>
                <w:szCs w:val="16"/>
              </w:rPr>
              <w:t xml:space="preserve">Support scheme for renewables </w:t>
            </w:r>
            <w:r w:rsidRPr="004675D3">
              <w:rPr>
                <w:rFonts w:ascii="Arial" w:hAnsi="Arial" w:cs="Arial"/>
                <w:color w:val="2E74B5" w:themeColor="accent1" w:themeShade="BF"/>
                <w:sz w:val="16"/>
                <w:szCs w:val="16"/>
              </w:rPr>
              <w:t>(PI: fiscal/Financial incentives; Green certificates; Obligation schemes, PT: Renewables, S: Industry, SS: any)</w:t>
            </w:r>
          </w:p>
          <w:p w14:paraId="6262AE2D" w14:textId="77777777" w:rsidR="00931AE8" w:rsidRPr="004675D3" w:rsidRDefault="00931AE8" w:rsidP="00E255EC">
            <w:pPr>
              <w:spacing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16" w:type="pct"/>
          </w:tcPr>
          <w:p w14:paraId="7EC0D082"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scheme for CCS </w:t>
            </w:r>
            <w:r w:rsidRPr="004675D3">
              <w:rPr>
                <w:rFonts w:ascii="Arial" w:hAnsi="Arial" w:cs="Arial"/>
                <w:color w:val="2E74B5" w:themeColor="accent1" w:themeShade="BF"/>
                <w:sz w:val="16"/>
                <w:szCs w:val="16"/>
              </w:rPr>
              <w:t>(PI: Fiscal/financial incentives; Infrastructure investments, PT: Other low-carbon technologies and fuel switch, S: Industry, SS: Industrial CO2)</w:t>
            </w:r>
          </w:p>
          <w:p w14:paraId="460BF51A"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scheme for fuel switch </w:t>
            </w:r>
            <w:r w:rsidRPr="004675D3">
              <w:rPr>
                <w:rFonts w:ascii="Arial" w:hAnsi="Arial" w:cs="Arial"/>
                <w:color w:val="2E74B5" w:themeColor="accent1" w:themeShade="BF"/>
                <w:sz w:val="16"/>
                <w:szCs w:val="16"/>
              </w:rPr>
              <w:t>(PI: Fiscal/financial incentives; Infrastructure investments, PT: Other low-carbon technologies and fuel switch, S: Industry, SS: Industrial energy related)</w:t>
            </w:r>
          </w:p>
          <w:p w14:paraId="53C6B33F"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Carbon dioxide removal technology development </w:t>
            </w:r>
            <w:r w:rsidRPr="004675D3">
              <w:rPr>
                <w:rFonts w:ascii="Arial" w:hAnsi="Arial" w:cs="Arial"/>
                <w:color w:val="2E74B5" w:themeColor="accent1" w:themeShade="BF"/>
                <w:sz w:val="16"/>
                <w:szCs w:val="16"/>
              </w:rPr>
              <w:t>(PI: Fiscal/financial incentives; Infrastructure investments, PT: Other low-carbon technologies and fuel switch, S: Industry, SS: Negative emissions)</w:t>
            </w:r>
          </w:p>
        </w:tc>
        <w:tc>
          <w:tcPr>
            <w:tcW w:w="812" w:type="pct"/>
          </w:tcPr>
          <w:p w14:paraId="08D758B3"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Landfill methane reduction </w:t>
            </w:r>
            <w:r w:rsidRPr="004675D3">
              <w:rPr>
                <w:rFonts w:ascii="Arial" w:hAnsi="Arial" w:cs="Arial"/>
                <w:color w:val="2E74B5" w:themeColor="accent1" w:themeShade="BF"/>
                <w:sz w:val="16"/>
                <w:szCs w:val="16"/>
              </w:rPr>
              <w:t>(PI: any, PT: Non-energy, S: Industry; SS: Waste CH4)</w:t>
            </w:r>
          </w:p>
          <w:p w14:paraId="48727237"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Incentives to reduce CH4 from fuel exploration and production </w:t>
            </w:r>
            <w:r w:rsidRPr="004675D3">
              <w:rPr>
                <w:rFonts w:ascii="Arial" w:hAnsi="Arial" w:cs="Arial"/>
                <w:color w:val="2E74B5" w:themeColor="accent1" w:themeShade="BF"/>
                <w:sz w:val="16"/>
                <w:szCs w:val="16"/>
              </w:rPr>
              <w:t>(PI: any, PT: Non-energy</w:t>
            </w:r>
            <w:r w:rsidRPr="004675D3">
              <w:rPr>
                <w:rFonts w:ascii="Arial" w:hAnsi="Arial" w:cs="Arial"/>
                <w:color w:val="FF0000"/>
                <w:sz w:val="16"/>
                <w:szCs w:val="16"/>
              </w:rPr>
              <w:t>,</w:t>
            </w:r>
            <w:r w:rsidRPr="004675D3">
              <w:rPr>
                <w:rFonts w:ascii="Arial" w:hAnsi="Arial" w:cs="Arial"/>
                <w:color w:val="2E74B5" w:themeColor="accent1" w:themeShade="BF"/>
                <w:sz w:val="16"/>
                <w:szCs w:val="16"/>
              </w:rPr>
              <w:t xml:space="preserve"> S: Industry; SS: Oil and gas production CH4)</w:t>
            </w:r>
          </w:p>
          <w:p w14:paraId="699481BE"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Incentives to reduce N2O from industrial processes </w:t>
            </w:r>
            <w:r w:rsidRPr="004675D3">
              <w:rPr>
                <w:rFonts w:ascii="Arial" w:hAnsi="Arial" w:cs="Arial"/>
                <w:color w:val="2E74B5" w:themeColor="accent1" w:themeShade="BF"/>
                <w:sz w:val="16"/>
                <w:szCs w:val="16"/>
              </w:rPr>
              <w:t>(PI: any, PT: Non-energy, S: Industry, SS: Industrial processes N2O)</w:t>
            </w:r>
          </w:p>
          <w:p w14:paraId="01424718"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Incentives to reduce fluorinated gases </w:t>
            </w:r>
            <w:r w:rsidRPr="004675D3">
              <w:rPr>
                <w:rFonts w:ascii="Arial" w:hAnsi="Arial" w:cs="Arial"/>
                <w:color w:val="2E74B5" w:themeColor="accent1" w:themeShade="BF"/>
                <w:sz w:val="16"/>
                <w:szCs w:val="16"/>
              </w:rPr>
              <w:t>(PI: any, PT: Non-energy, S: Industry, SS: Fluorinated gases)</w:t>
            </w:r>
          </w:p>
        </w:tc>
      </w:tr>
      <w:tr w:rsidR="00931AE8" w:rsidRPr="004675D3" w14:paraId="5BE8DEDE" w14:textId="77777777" w:rsidTr="00E255EC">
        <w:trPr>
          <w:trHeight w:val="390"/>
        </w:trPr>
        <w:tc>
          <w:tcPr>
            <w:cnfStyle w:val="001000000000" w:firstRow="0" w:lastRow="0" w:firstColumn="1" w:lastColumn="0" w:oddVBand="0" w:evenVBand="0" w:oddHBand="0" w:evenHBand="0" w:firstRowFirstColumn="0" w:firstRowLastColumn="0" w:lastRowFirstColumn="0" w:lastRowLastColumn="0"/>
            <w:tcW w:w="591" w:type="pct"/>
            <w:vMerge/>
          </w:tcPr>
          <w:p w14:paraId="40498480" w14:textId="77777777" w:rsidR="00931AE8" w:rsidRPr="004675D3" w:rsidRDefault="00931AE8" w:rsidP="00E255EC">
            <w:pPr>
              <w:spacing w:line="240" w:lineRule="auto"/>
              <w:rPr>
                <w:rFonts w:ascii="Arial" w:hAnsi="Arial" w:cs="Arial"/>
                <w:b w:val="0"/>
                <w:sz w:val="16"/>
                <w:szCs w:val="16"/>
              </w:rPr>
            </w:pPr>
          </w:p>
        </w:tc>
        <w:tc>
          <w:tcPr>
            <w:tcW w:w="4409" w:type="pct"/>
            <w:gridSpan w:val="5"/>
          </w:tcPr>
          <w:p w14:paraId="5F6CFD3D"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Overarching carbon pricing </w:t>
            </w:r>
            <w:r w:rsidRPr="004675D3">
              <w:rPr>
                <w:rFonts w:ascii="Arial" w:hAnsi="Arial" w:cs="Arial"/>
                <w:color w:val="2E74B5" w:themeColor="accent1" w:themeShade="BF"/>
                <w:sz w:val="16"/>
                <w:szCs w:val="16"/>
              </w:rPr>
              <w:t>(PI: GHG emissions allowances; GHG emission reduction crediting and offsetting mechanism; CO2 taxes, PT: Any, S: Industry, SS: Any)</w:t>
            </w:r>
          </w:p>
          <w:p w14:paraId="733BE5B9"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lastRenderedPageBreak/>
              <w:t xml:space="preserve">Energy and other taxes </w:t>
            </w:r>
            <w:r w:rsidRPr="004675D3">
              <w:rPr>
                <w:rFonts w:ascii="Arial" w:hAnsi="Arial" w:cs="Arial"/>
                <w:color w:val="2E74B5" w:themeColor="accent1" w:themeShade="BF"/>
                <w:sz w:val="16"/>
                <w:szCs w:val="16"/>
              </w:rPr>
              <w:t>(PI: Energy and other taxes, PT: Any, S: Industry, SS: Any)</w:t>
            </w:r>
          </w:p>
        </w:tc>
      </w:tr>
      <w:tr w:rsidR="00931AE8" w:rsidRPr="004675D3" w14:paraId="71FD5C6E" w14:textId="77777777" w:rsidTr="00E255EC">
        <w:tc>
          <w:tcPr>
            <w:cnfStyle w:val="001000000000" w:firstRow="0" w:lastRow="0" w:firstColumn="1" w:lastColumn="0" w:oddVBand="0" w:evenVBand="0" w:oddHBand="0" w:evenHBand="0" w:firstRowFirstColumn="0" w:firstRowLastColumn="0" w:lastRowFirstColumn="0" w:lastRowLastColumn="0"/>
            <w:tcW w:w="591" w:type="pct"/>
            <w:vMerge w:val="restart"/>
          </w:tcPr>
          <w:p w14:paraId="0FBAE3D0" w14:textId="77777777" w:rsidR="00931AE8" w:rsidRPr="004675D3" w:rsidRDefault="00931AE8" w:rsidP="00E255EC">
            <w:pPr>
              <w:spacing w:line="240" w:lineRule="auto"/>
              <w:rPr>
                <w:rFonts w:ascii="Arial" w:hAnsi="Arial" w:cs="Arial"/>
                <w:b w:val="0"/>
                <w:sz w:val="16"/>
                <w:szCs w:val="16"/>
              </w:rPr>
            </w:pPr>
            <w:r w:rsidRPr="004675D3">
              <w:rPr>
                <w:rFonts w:ascii="Arial" w:hAnsi="Arial" w:cs="Arial"/>
                <w:sz w:val="16"/>
                <w:szCs w:val="16"/>
              </w:rPr>
              <w:lastRenderedPageBreak/>
              <w:t>Buildings</w:t>
            </w:r>
          </w:p>
          <w:p w14:paraId="0FC24B07" w14:textId="77777777" w:rsidR="00931AE8" w:rsidRPr="004675D3" w:rsidRDefault="00931AE8" w:rsidP="00E255EC">
            <w:pPr>
              <w:spacing w:line="240" w:lineRule="auto"/>
              <w:rPr>
                <w:rFonts w:ascii="Arial" w:hAnsi="Arial" w:cs="Arial"/>
                <w:b w:val="0"/>
                <w:sz w:val="16"/>
                <w:szCs w:val="16"/>
              </w:rPr>
            </w:pPr>
          </w:p>
        </w:tc>
        <w:tc>
          <w:tcPr>
            <w:tcW w:w="722" w:type="pct"/>
          </w:tcPr>
          <w:p w14:paraId="2BC50251"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Urban planning strategies </w:t>
            </w:r>
            <w:r w:rsidRPr="004675D3">
              <w:rPr>
                <w:rFonts w:ascii="Arial" w:hAnsi="Arial" w:cs="Arial"/>
                <w:color w:val="2E74B5" w:themeColor="accent1" w:themeShade="BF"/>
                <w:sz w:val="16"/>
                <w:szCs w:val="16"/>
              </w:rPr>
              <w:t>(PI: Infrastructure investments; Strategic planning, PT: Energy service demand reduction and resource efficiency, S: Buildings, SS: any)</w:t>
            </w:r>
          </w:p>
        </w:tc>
        <w:tc>
          <w:tcPr>
            <w:tcW w:w="958" w:type="pct"/>
          </w:tcPr>
          <w:p w14:paraId="3FF6AECC"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color w:val="2E74B5" w:themeColor="accent1" w:themeShade="BF"/>
                <w:sz w:val="16"/>
                <w:szCs w:val="16"/>
              </w:rPr>
            </w:pPr>
            <w:r w:rsidRPr="004675D3">
              <w:rPr>
                <w:rFonts w:ascii="Arial" w:hAnsi="Arial" w:cs="Arial"/>
                <w:sz w:val="16"/>
                <w:szCs w:val="16"/>
              </w:rPr>
              <w:t xml:space="preserve">Building codes and standards as well as support for highly efficient construction </w:t>
            </w:r>
            <w:r w:rsidRPr="004675D3">
              <w:rPr>
                <w:rFonts w:ascii="Arial" w:hAnsi="Arial" w:cs="Arial"/>
                <w:color w:val="2E74B5" w:themeColor="accent1" w:themeShade="BF"/>
                <w:sz w:val="16"/>
                <w:szCs w:val="16"/>
              </w:rPr>
              <w:t>(PI: Codes and standards, Building codes and standards; Fiscal/financial incentives, PT: Energy efficiency, S: Buildings, SS: Any)</w:t>
            </w:r>
          </w:p>
          <w:p w14:paraId="759CABFC"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Performance and equipment standards as well as support for highly efficient appliances </w:t>
            </w:r>
            <w:r w:rsidRPr="004675D3">
              <w:rPr>
                <w:rFonts w:ascii="Arial" w:hAnsi="Arial" w:cs="Arial"/>
                <w:color w:val="2E74B5" w:themeColor="accent1" w:themeShade="BF"/>
                <w:sz w:val="16"/>
                <w:szCs w:val="16"/>
              </w:rPr>
              <w:t>(PI: Product standards; Performance label; Fiscal/financial incentives, PT: Energy efficiency, S: Buildings, SS: Appliances)</w:t>
            </w:r>
          </w:p>
        </w:tc>
        <w:tc>
          <w:tcPr>
            <w:tcW w:w="1102" w:type="pct"/>
          </w:tcPr>
          <w:p w14:paraId="167EE79F"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scheme for heating and cooling </w:t>
            </w:r>
            <w:r w:rsidRPr="004675D3">
              <w:rPr>
                <w:rFonts w:ascii="Arial" w:hAnsi="Arial" w:cs="Arial"/>
                <w:color w:val="2E74B5" w:themeColor="accent1" w:themeShade="BF"/>
                <w:sz w:val="16"/>
                <w:szCs w:val="16"/>
              </w:rPr>
              <w:t>(PI: Fiscal/financial incentives; Obligation schemes, PT: Renewables, S: Buildings, SS: Heating and cooling)</w:t>
            </w:r>
          </w:p>
          <w:p w14:paraId="1D888905"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scheme for hot water and cooking </w:t>
            </w:r>
            <w:r w:rsidRPr="004675D3">
              <w:rPr>
                <w:rFonts w:ascii="Arial" w:hAnsi="Arial" w:cs="Arial"/>
                <w:color w:val="2E74B5" w:themeColor="accent1" w:themeShade="BF"/>
                <w:sz w:val="16"/>
                <w:szCs w:val="16"/>
              </w:rPr>
              <w:t>(PI: Fiscal/financial incentives; Obligation schemes PT: Renewables, S: Buildings, SS: Hot water and cooking)</w:t>
            </w:r>
          </w:p>
        </w:tc>
        <w:tc>
          <w:tcPr>
            <w:tcW w:w="816" w:type="pct"/>
          </w:tcPr>
          <w:p w14:paraId="19FD3885" w14:textId="77777777" w:rsidR="00931AE8" w:rsidRPr="004675D3" w:rsidRDefault="00931AE8" w:rsidP="00E255EC">
            <w:pPr>
              <w:pStyle w:val="ListParagraph"/>
              <w:spacing w:line="240" w:lineRule="auto"/>
              <w:ind w:left="114"/>
              <w:cnfStyle w:val="000000000000" w:firstRow="0" w:lastRow="0" w:firstColumn="0" w:lastColumn="0" w:oddVBand="0" w:evenVBand="0" w:oddHBand="0" w:evenHBand="0" w:firstRowFirstColumn="0" w:firstRowLastColumn="0" w:lastRowFirstColumn="0" w:lastRowLastColumn="0"/>
              <w:rPr>
                <w:rFonts w:ascii="Arial" w:hAnsi="Arial" w:cs="Arial"/>
                <w:color w:val="FF0000"/>
                <w:sz w:val="16"/>
                <w:szCs w:val="16"/>
              </w:rPr>
            </w:pPr>
          </w:p>
        </w:tc>
        <w:tc>
          <w:tcPr>
            <w:tcW w:w="812" w:type="pct"/>
            <w:vMerge w:val="restart"/>
          </w:tcPr>
          <w:p w14:paraId="226E0688" w14:textId="77777777" w:rsidR="00931AE8" w:rsidRPr="004675D3" w:rsidRDefault="00931AE8" w:rsidP="00E255EC">
            <w:pPr>
              <w:pStyle w:val="ListParagraph"/>
              <w:spacing w:line="240" w:lineRule="auto"/>
              <w:ind w:left="114"/>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931AE8" w:rsidRPr="004675D3" w14:paraId="55C621EC" w14:textId="77777777" w:rsidTr="00E255EC">
        <w:trPr>
          <w:trHeight w:val="200"/>
        </w:trPr>
        <w:tc>
          <w:tcPr>
            <w:cnfStyle w:val="001000000000" w:firstRow="0" w:lastRow="0" w:firstColumn="1" w:lastColumn="0" w:oddVBand="0" w:evenVBand="0" w:oddHBand="0" w:evenHBand="0" w:firstRowFirstColumn="0" w:firstRowLastColumn="0" w:lastRowFirstColumn="0" w:lastRowLastColumn="0"/>
            <w:tcW w:w="591" w:type="pct"/>
            <w:vMerge/>
          </w:tcPr>
          <w:p w14:paraId="1FCFDDAD" w14:textId="77777777" w:rsidR="00931AE8" w:rsidRPr="004675D3" w:rsidRDefault="00931AE8" w:rsidP="00E255EC">
            <w:pPr>
              <w:spacing w:line="240" w:lineRule="auto"/>
              <w:rPr>
                <w:rFonts w:ascii="Arial" w:hAnsi="Arial" w:cs="Arial"/>
                <w:b w:val="0"/>
                <w:sz w:val="16"/>
                <w:szCs w:val="16"/>
              </w:rPr>
            </w:pPr>
          </w:p>
        </w:tc>
        <w:tc>
          <w:tcPr>
            <w:tcW w:w="3597" w:type="pct"/>
            <w:gridSpan w:val="4"/>
            <w:vMerge w:val="restart"/>
          </w:tcPr>
          <w:p w14:paraId="0477F71D" w14:textId="77777777" w:rsidR="00931AE8" w:rsidRPr="004675D3" w:rsidRDefault="00931AE8" w:rsidP="00931AE8">
            <w:pPr>
              <w:pStyle w:val="ListParagraph"/>
              <w:numPr>
                <w:ilvl w:val="0"/>
                <w:numId w:val="42"/>
              </w:numPr>
              <w:spacing w:after="160"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color w:val="2E74B5" w:themeColor="accent1" w:themeShade="BF"/>
                <w:sz w:val="16"/>
                <w:szCs w:val="16"/>
              </w:rPr>
            </w:pPr>
            <w:r w:rsidRPr="004675D3">
              <w:rPr>
                <w:rFonts w:ascii="Arial" w:hAnsi="Arial" w:cs="Arial"/>
                <w:sz w:val="16"/>
                <w:szCs w:val="16"/>
              </w:rPr>
              <w:t xml:space="preserve">Energy and other taxes </w:t>
            </w:r>
            <w:r w:rsidRPr="004675D3">
              <w:rPr>
                <w:rFonts w:ascii="Arial" w:hAnsi="Arial" w:cs="Arial"/>
                <w:color w:val="2E74B5" w:themeColor="accent1" w:themeShade="BF"/>
                <w:sz w:val="16"/>
                <w:szCs w:val="16"/>
              </w:rPr>
              <w:t>(PI: Energy and other taxes, PT: Any, S: Buildings, SS: Any)</w:t>
            </w:r>
          </w:p>
        </w:tc>
        <w:tc>
          <w:tcPr>
            <w:tcW w:w="812" w:type="pct"/>
            <w:vMerge/>
          </w:tcPr>
          <w:p w14:paraId="094FCF08"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color w:val="FF0000"/>
                <w:sz w:val="16"/>
                <w:szCs w:val="16"/>
              </w:rPr>
            </w:pPr>
          </w:p>
        </w:tc>
      </w:tr>
      <w:tr w:rsidR="00931AE8" w:rsidRPr="004675D3" w14:paraId="5C255DC5" w14:textId="77777777" w:rsidTr="00E255EC">
        <w:tc>
          <w:tcPr>
            <w:cnfStyle w:val="001000000000" w:firstRow="0" w:lastRow="0" w:firstColumn="1" w:lastColumn="0" w:oddVBand="0" w:evenVBand="0" w:oddHBand="0" w:evenHBand="0" w:firstRowFirstColumn="0" w:firstRowLastColumn="0" w:lastRowFirstColumn="0" w:lastRowLastColumn="0"/>
            <w:tcW w:w="591" w:type="pct"/>
            <w:vMerge/>
          </w:tcPr>
          <w:p w14:paraId="2D104788" w14:textId="77777777" w:rsidR="00931AE8" w:rsidRPr="004675D3" w:rsidRDefault="00931AE8" w:rsidP="00E255EC">
            <w:pPr>
              <w:spacing w:line="240" w:lineRule="auto"/>
              <w:rPr>
                <w:rFonts w:ascii="Arial" w:hAnsi="Arial" w:cs="Arial"/>
                <w:b w:val="0"/>
                <w:sz w:val="16"/>
                <w:szCs w:val="16"/>
              </w:rPr>
            </w:pPr>
          </w:p>
        </w:tc>
        <w:tc>
          <w:tcPr>
            <w:tcW w:w="3597" w:type="pct"/>
            <w:gridSpan w:val="4"/>
            <w:vMerge/>
          </w:tcPr>
          <w:p w14:paraId="6494FC5A"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12" w:type="pct"/>
          </w:tcPr>
          <w:p w14:paraId="42A201A1" w14:textId="77777777" w:rsidR="00931AE8" w:rsidRPr="004675D3" w:rsidRDefault="00931AE8" w:rsidP="00E255EC">
            <w:pPr>
              <w:spacing w:line="240" w:lineRule="auto"/>
              <w:ind w:left="-51"/>
              <w:jc w:val="left"/>
              <w:cnfStyle w:val="000000000000" w:firstRow="0" w:lastRow="0" w:firstColumn="0" w:lastColumn="0" w:oddVBand="0" w:evenVBand="0" w:oddHBand="0" w:evenHBand="0" w:firstRowFirstColumn="0" w:firstRowLastColumn="0" w:lastRowFirstColumn="0" w:lastRowLastColumn="0"/>
              <w:rPr>
                <w:rFonts w:ascii="Arial" w:hAnsi="Arial" w:cs="Arial"/>
                <w:color w:val="FF0000"/>
                <w:sz w:val="16"/>
                <w:szCs w:val="16"/>
              </w:rPr>
            </w:pPr>
          </w:p>
        </w:tc>
      </w:tr>
      <w:tr w:rsidR="00931AE8" w:rsidRPr="004675D3" w14:paraId="2AF8BED2" w14:textId="77777777" w:rsidTr="00E255EC">
        <w:tc>
          <w:tcPr>
            <w:cnfStyle w:val="001000000000" w:firstRow="0" w:lastRow="0" w:firstColumn="1" w:lastColumn="0" w:oddVBand="0" w:evenVBand="0" w:oddHBand="0" w:evenHBand="0" w:firstRowFirstColumn="0" w:firstRowLastColumn="0" w:lastRowFirstColumn="0" w:lastRowLastColumn="0"/>
            <w:tcW w:w="591" w:type="pct"/>
            <w:vMerge w:val="restart"/>
          </w:tcPr>
          <w:p w14:paraId="208B3811" w14:textId="77777777" w:rsidR="00931AE8" w:rsidRPr="004675D3" w:rsidRDefault="00931AE8" w:rsidP="00E255EC">
            <w:pPr>
              <w:spacing w:line="240" w:lineRule="auto"/>
              <w:rPr>
                <w:rFonts w:ascii="Arial" w:hAnsi="Arial" w:cs="Arial"/>
                <w:b w:val="0"/>
                <w:sz w:val="16"/>
                <w:szCs w:val="16"/>
              </w:rPr>
            </w:pPr>
            <w:r w:rsidRPr="004675D3">
              <w:rPr>
                <w:rFonts w:ascii="Arial" w:hAnsi="Arial" w:cs="Arial"/>
                <w:sz w:val="16"/>
                <w:szCs w:val="16"/>
              </w:rPr>
              <w:t>Land transport</w:t>
            </w:r>
          </w:p>
        </w:tc>
        <w:tc>
          <w:tcPr>
            <w:tcW w:w="722" w:type="pct"/>
          </w:tcPr>
          <w:p w14:paraId="17F2B46D"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Urban planning and infrastructure investment </w:t>
            </w:r>
            <w:r w:rsidRPr="004675D3">
              <w:rPr>
                <w:rFonts w:ascii="Arial" w:hAnsi="Arial" w:cs="Arial"/>
                <w:color w:val="2E74B5" w:themeColor="accent1" w:themeShade="BF"/>
                <w:sz w:val="16"/>
                <w:szCs w:val="16"/>
              </w:rPr>
              <w:t>(PI: Strategic planning; Infrastructure investments, PT: Energy service demand reduction and resource efficiency, S: Transport, SS: any)</w:t>
            </w:r>
          </w:p>
        </w:tc>
        <w:tc>
          <w:tcPr>
            <w:tcW w:w="958" w:type="pct"/>
          </w:tcPr>
          <w:p w14:paraId="550081AD"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Energy/emissions performance standards or support for energy efficient for light duty vehicles </w:t>
            </w:r>
            <w:r w:rsidRPr="004675D3">
              <w:rPr>
                <w:rFonts w:ascii="Arial" w:hAnsi="Arial" w:cs="Arial"/>
                <w:color w:val="2E74B5" w:themeColor="accent1" w:themeShade="BF"/>
                <w:sz w:val="16"/>
                <w:szCs w:val="16"/>
              </w:rPr>
              <w:t>(PI: Vehicle fuel-economy and emissions standards; Fiscal/financial incentives, PT: Energy efficiency, S: Transport, SS: Light duty)</w:t>
            </w:r>
          </w:p>
          <w:p w14:paraId="0F7BC003"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Energy/emissions performance standards or support for energy efficient for heavy duty vehicles </w:t>
            </w:r>
            <w:r w:rsidRPr="004675D3">
              <w:rPr>
                <w:rFonts w:ascii="Arial" w:hAnsi="Arial" w:cs="Arial"/>
                <w:color w:val="2E74B5" w:themeColor="accent1" w:themeShade="BF"/>
                <w:sz w:val="16"/>
                <w:szCs w:val="16"/>
              </w:rPr>
              <w:t>(PI: Vehicle fuel-economy and emissions standards; Fiscal/financial incentives, PT: Energy efficiency, S: Transport, SS: Heavy duty)</w:t>
            </w:r>
          </w:p>
        </w:tc>
        <w:tc>
          <w:tcPr>
            <w:tcW w:w="1102" w:type="pct"/>
          </w:tcPr>
          <w:p w14:paraId="1981F7BA"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for biofuels </w:t>
            </w:r>
            <w:r w:rsidRPr="004675D3">
              <w:rPr>
                <w:rFonts w:ascii="Arial" w:hAnsi="Arial" w:cs="Arial"/>
                <w:color w:val="2E74B5" w:themeColor="accent1" w:themeShade="BF"/>
                <w:sz w:val="16"/>
                <w:szCs w:val="16"/>
              </w:rPr>
              <w:t>(PI: Renewable energy target; Fiscal/financial incentives; Obligation schemes, PT: Renewables, S: Transport, SS: any)</w:t>
            </w:r>
          </w:p>
        </w:tc>
        <w:tc>
          <w:tcPr>
            <w:tcW w:w="816" w:type="pct"/>
          </w:tcPr>
          <w:p w14:paraId="2A095CBC"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for modal share switch </w:t>
            </w:r>
            <w:r w:rsidRPr="004675D3">
              <w:rPr>
                <w:rFonts w:ascii="Arial" w:hAnsi="Arial" w:cs="Arial"/>
                <w:color w:val="2E74B5" w:themeColor="accent1" w:themeShade="BF"/>
                <w:sz w:val="16"/>
                <w:szCs w:val="16"/>
              </w:rPr>
              <w:t>(PI: Infrastructure investment; Strategic planning, PT: Other low-carbon technologies and fuel switch, S: Transport, SS: Any)</w:t>
            </w:r>
          </w:p>
          <w:p w14:paraId="44375AAF"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Support schemes for low-emissions land transportation </w:t>
            </w:r>
            <w:r w:rsidRPr="004675D3">
              <w:rPr>
                <w:rFonts w:ascii="Arial" w:hAnsi="Arial" w:cs="Arial"/>
                <w:color w:val="2E74B5" w:themeColor="accent1" w:themeShade="BF"/>
                <w:sz w:val="16"/>
                <w:szCs w:val="16"/>
              </w:rPr>
              <w:t xml:space="preserve">(PI: Any, PT: Other low-carbon technologies and fuel switch, S: Transport, SS: Low-emission mobility) </w:t>
            </w:r>
          </w:p>
          <w:p w14:paraId="1A9EC2DE" w14:textId="77777777" w:rsidR="00931AE8" w:rsidRPr="004675D3" w:rsidRDefault="00931AE8" w:rsidP="00E255EC">
            <w:pPr>
              <w:pStyle w:val="ListParagraph"/>
              <w:spacing w:line="240" w:lineRule="auto"/>
              <w:ind w:left="114"/>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12" w:type="pct"/>
            <w:vMerge w:val="restart"/>
          </w:tcPr>
          <w:p w14:paraId="57A68993" w14:textId="77777777" w:rsidR="00931AE8" w:rsidRPr="004675D3" w:rsidRDefault="00931AE8" w:rsidP="009E10F5">
            <w:pPr>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FF0000"/>
                <w:sz w:val="16"/>
                <w:szCs w:val="16"/>
              </w:rPr>
            </w:pPr>
          </w:p>
        </w:tc>
      </w:tr>
      <w:tr w:rsidR="00931AE8" w:rsidRPr="004675D3" w14:paraId="750AEA58" w14:textId="77777777" w:rsidTr="00E255EC">
        <w:tc>
          <w:tcPr>
            <w:cnfStyle w:val="001000000000" w:firstRow="0" w:lastRow="0" w:firstColumn="1" w:lastColumn="0" w:oddVBand="0" w:evenVBand="0" w:oddHBand="0" w:evenHBand="0" w:firstRowFirstColumn="0" w:firstRowLastColumn="0" w:lastRowFirstColumn="0" w:lastRowLastColumn="0"/>
            <w:tcW w:w="591" w:type="pct"/>
            <w:vMerge/>
          </w:tcPr>
          <w:p w14:paraId="23BD3FC7" w14:textId="77777777" w:rsidR="00931AE8" w:rsidRPr="004675D3" w:rsidRDefault="00931AE8" w:rsidP="00E255EC">
            <w:pPr>
              <w:spacing w:line="240" w:lineRule="auto"/>
              <w:rPr>
                <w:rFonts w:ascii="Arial" w:hAnsi="Arial" w:cs="Arial"/>
                <w:b w:val="0"/>
                <w:sz w:val="16"/>
                <w:szCs w:val="16"/>
              </w:rPr>
            </w:pPr>
          </w:p>
        </w:tc>
        <w:tc>
          <w:tcPr>
            <w:tcW w:w="3597" w:type="pct"/>
            <w:gridSpan w:val="4"/>
          </w:tcPr>
          <w:p w14:paraId="2E4485B1"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color w:val="2E74B5" w:themeColor="accent1" w:themeShade="BF"/>
                <w:sz w:val="16"/>
                <w:szCs w:val="16"/>
              </w:rPr>
            </w:pPr>
            <w:r w:rsidRPr="004675D3">
              <w:rPr>
                <w:rFonts w:ascii="Arial" w:hAnsi="Arial" w:cs="Arial"/>
                <w:sz w:val="16"/>
                <w:szCs w:val="16"/>
              </w:rPr>
              <w:t xml:space="preserve">Tax on fuel and/or emissions </w:t>
            </w:r>
            <w:r w:rsidRPr="004675D3">
              <w:rPr>
                <w:rFonts w:ascii="Arial" w:hAnsi="Arial" w:cs="Arial"/>
                <w:color w:val="2E74B5" w:themeColor="accent1" w:themeShade="BF"/>
                <w:sz w:val="16"/>
                <w:szCs w:val="16"/>
              </w:rPr>
              <w:t>(PI: CO2 taxes; Energy and other taxes, PT: Any, S: Transport, SS: Any)</w:t>
            </w:r>
          </w:p>
        </w:tc>
        <w:tc>
          <w:tcPr>
            <w:tcW w:w="812" w:type="pct"/>
            <w:vMerge/>
          </w:tcPr>
          <w:p w14:paraId="15C9AD52"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color w:val="FF0000"/>
                <w:sz w:val="16"/>
                <w:szCs w:val="16"/>
              </w:rPr>
            </w:pPr>
          </w:p>
        </w:tc>
      </w:tr>
      <w:tr w:rsidR="00931AE8" w:rsidRPr="004675D3" w14:paraId="5FB2F751" w14:textId="77777777" w:rsidTr="00E255EC">
        <w:trPr>
          <w:trHeight w:val="977"/>
        </w:trPr>
        <w:tc>
          <w:tcPr>
            <w:cnfStyle w:val="001000000000" w:firstRow="0" w:lastRow="0" w:firstColumn="1" w:lastColumn="0" w:oddVBand="0" w:evenVBand="0" w:oddHBand="0" w:evenHBand="0" w:firstRowFirstColumn="0" w:firstRowLastColumn="0" w:lastRowFirstColumn="0" w:lastRowLastColumn="0"/>
            <w:tcW w:w="591" w:type="pct"/>
            <w:vMerge w:val="restart"/>
          </w:tcPr>
          <w:p w14:paraId="3ECD1DB7" w14:textId="77777777" w:rsidR="00931AE8" w:rsidRPr="004675D3" w:rsidRDefault="00931AE8" w:rsidP="00E255EC">
            <w:pPr>
              <w:spacing w:line="240" w:lineRule="auto"/>
              <w:rPr>
                <w:rFonts w:ascii="Arial" w:hAnsi="Arial" w:cs="Arial"/>
                <w:bCs w:val="0"/>
                <w:sz w:val="16"/>
                <w:szCs w:val="16"/>
              </w:rPr>
            </w:pPr>
            <w:r w:rsidRPr="004675D3">
              <w:rPr>
                <w:rFonts w:ascii="Arial" w:hAnsi="Arial" w:cs="Arial"/>
                <w:sz w:val="16"/>
                <w:szCs w:val="16"/>
              </w:rPr>
              <w:t>Agriculture and forestry</w:t>
            </w:r>
          </w:p>
          <w:p w14:paraId="5DF9D71C" w14:textId="77777777" w:rsidR="00931AE8" w:rsidRPr="004675D3" w:rsidRDefault="00931AE8" w:rsidP="00E255EC">
            <w:pPr>
              <w:spacing w:line="240" w:lineRule="auto"/>
              <w:rPr>
                <w:rFonts w:ascii="Arial" w:hAnsi="Arial" w:cs="Arial"/>
                <w:b w:val="0"/>
                <w:sz w:val="16"/>
                <w:szCs w:val="16"/>
              </w:rPr>
            </w:pPr>
          </w:p>
        </w:tc>
        <w:tc>
          <w:tcPr>
            <w:tcW w:w="4409" w:type="pct"/>
            <w:gridSpan w:val="5"/>
          </w:tcPr>
          <w:p w14:paraId="54BE4103"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Standards and support for sustainable agricultural practices and use of agricultural products </w:t>
            </w:r>
            <w:r w:rsidRPr="004675D3">
              <w:rPr>
                <w:rFonts w:ascii="Arial" w:hAnsi="Arial" w:cs="Arial"/>
                <w:color w:val="2E74B5" w:themeColor="accent1" w:themeShade="BF"/>
                <w:sz w:val="16"/>
                <w:szCs w:val="16"/>
              </w:rPr>
              <w:t>(PI: Strategic planning; Product standards, PT: any, S: Agriculture and forestry, SS: none)</w:t>
            </w:r>
          </w:p>
          <w:p w14:paraId="21D0E2E3" w14:textId="77777777" w:rsidR="00931AE8" w:rsidRPr="004675D3" w:rsidRDefault="00931AE8" w:rsidP="00931AE8">
            <w:pPr>
              <w:pStyle w:val="ListParagraph"/>
              <w:numPr>
                <w:ilvl w:val="0"/>
                <w:numId w:val="44"/>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4675D3">
              <w:rPr>
                <w:rFonts w:ascii="Arial" w:hAnsi="Arial" w:cs="Arial"/>
                <w:sz w:val="16"/>
                <w:szCs w:val="16"/>
              </w:rPr>
              <w:t xml:space="preserve">Incentives to reduce CO2 emissions from agriculture </w:t>
            </w:r>
            <w:r w:rsidRPr="004675D3">
              <w:rPr>
                <w:rFonts w:ascii="Arial" w:hAnsi="Arial" w:cs="Arial"/>
                <w:color w:val="2E74B5" w:themeColor="accent1" w:themeShade="BF"/>
                <w:sz w:val="16"/>
                <w:szCs w:val="16"/>
              </w:rPr>
              <w:t>(PI: any, PT: any, S: Agriculture and forestry, SS: Agriculture CO2)</w:t>
            </w:r>
          </w:p>
          <w:p w14:paraId="659CED4A" w14:textId="77777777" w:rsidR="00931AE8" w:rsidRPr="004675D3" w:rsidRDefault="00931AE8" w:rsidP="00931AE8">
            <w:pPr>
              <w:pStyle w:val="ListParagraph"/>
              <w:numPr>
                <w:ilvl w:val="0"/>
                <w:numId w:val="43"/>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lastRenderedPageBreak/>
              <w:t xml:space="preserve">Incentives to reduce CH4 emissions from agriculture </w:t>
            </w:r>
            <w:r w:rsidRPr="004675D3">
              <w:rPr>
                <w:rFonts w:ascii="Arial" w:hAnsi="Arial" w:cs="Arial"/>
                <w:color w:val="2E74B5" w:themeColor="accent1" w:themeShade="BF"/>
                <w:sz w:val="16"/>
                <w:szCs w:val="16"/>
              </w:rPr>
              <w:t>(PI: any, PT: any, S: Agriculture and forestry, SS: Agriculture CH4)</w:t>
            </w:r>
          </w:p>
          <w:p w14:paraId="50480D05"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Incentives to reduce N2O emissions from agriculture </w:t>
            </w:r>
            <w:r w:rsidRPr="004675D3">
              <w:rPr>
                <w:rFonts w:ascii="Arial" w:hAnsi="Arial" w:cs="Arial"/>
                <w:color w:val="2E74B5" w:themeColor="accent1" w:themeShade="BF"/>
                <w:sz w:val="16"/>
                <w:szCs w:val="16"/>
              </w:rPr>
              <w:t>(PI: any, PT: any, S: Agriculture and forestry, SS: Agriculture N2O)</w:t>
            </w:r>
          </w:p>
          <w:p w14:paraId="77284A2F"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Incentives to reduce deforestation </w:t>
            </w:r>
            <w:r w:rsidRPr="004675D3">
              <w:rPr>
                <w:rFonts w:ascii="Arial" w:hAnsi="Arial" w:cs="Arial"/>
                <w:color w:val="2E74B5" w:themeColor="accent1" w:themeShade="BF"/>
                <w:sz w:val="16"/>
                <w:szCs w:val="16"/>
              </w:rPr>
              <w:t>(PI: any, PT: any, S: Agriculture and forestry, SS: Forestry)</w:t>
            </w:r>
          </w:p>
        </w:tc>
      </w:tr>
      <w:tr w:rsidR="00931AE8" w:rsidRPr="004675D3" w14:paraId="329FD115" w14:textId="77777777" w:rsidTr="00E255EC">
        <w:tc>
          <w:tcPr>
            <w:cnfStyle w:val="001000000000" w:firstRow="0" w:lastRow="0" w:firstColumn="1" w:lastColumn="0" w:oddVBand="0" w:evenVBand="0" w:oddHBand="0" w:evenHBand="0" w:firstRowFirstColumn="0" w:firstRowLastColumn="0" w:lastRowFirstColumn="0" w:lastRowLastColumn="0"/>
            <w:tcW w:w="591" w:type="pct"/>
            <w:vMerge/>
          </w:tcPr>
          <w:p w14:paraId="6FC6BD35" w14:textId="77777777" w:rsidR="00931AE8" w:rsidRPr="004675D3" w:rsidRDefault="00931AE8" w:rsidP="00E255EC">
            <w:pPr>
              <w:spacing w:line="240" w:lineRule="auto"/>
              <w:rPr>
                <w:rFonts w:ascii="Arial" w:hAnsi="Arial" w:cs="Arial"/>
                <w:b w:val="0"/>
                <w:sz w:val="16"/>
                <w:szCs w:val="16"/>
              </w:rPr>
            </w:pPr>
          </w:p>
        </w:tc>
        <w:tc>
          <w:tcPr>
            <w:tcW w:w="722" w:type="pct"/>
          </w:tcPr>
          <w:p w14:paraId="365591D7"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958" w:type="pct"/>
          </w:tcPr>
          <w:p w14:paraId="0BC8BB0D"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102" w:type="pct"/>
          </w:tcPr>
          <w:p w14:paraId="2EBCA250" w14:textId="77777777" w:rsidR="00931AE8" w:rsidRPr="004675D3" w:rsidRDefault="00931AE8" w:rsidP="00931AE8">
            <w:pPr>
              <w:pStyle w:val="ListParagraph"/>
              <w:numPr>
                <w:ilvl w:val="0"/>
                <w:numId w:val="42"/>
              </w:numPr>
              <w:spacing w:line="240" w:lineRule="auto"/>
              <w:ind w:left="114" w:hanging="165"/>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675D3">
              <w:rPr>
                <w:rFonts w:ascii="Arial" w:hAnsi="Arial" w:cs="Arial"/>
                <w:sz w:val="16"/>
                <w:szCs w:val="16"/>
              </w:rPr>
              <w:t xml:space="preserve">Sustainability standards for biomass use </w:t>
            </w:r>
            <w:r w:rsidRPr="004675D3">
              <w:rPr>
                <w:rFonts w:ascii="Arial" w:hAnsi="Arial" w:cs="Arial"/>
                <w:color w:val="2E74B5" w:themeColor="accent1" w:themeShade="BF"/>
                <w:sz w:val="16"/>
                <w:szCs w:val="16"/>
              </w:rPr>
              <w:t xml:space="preserve">(PI: Product standards, PT: Renewables, </w:t>
            </w:r>
            <w:proofErr w:type="gramStart"/>
            <w:r w:rsidRPr="004675D3">
              <w:rPr>
                <w:rFonts w:ascii="Arial" w:hAnsi="Arial" w:cs="Arial"/>
                <w:color w:val="2E74B5" w:themeColor="accent1" w:themeShade="BF"/>
                <w:sz w:val="16"/>
                <w:szCs w:val="16"/>
              </w:rPr>
              <w:t>S:Any</w:t>
            </w:r>
            <w:proofErr w:type="gramEnd"/>
            <w:r w:rsidRPr="004675D3">
              <w:rPr>
                <w:rFonts w:ascii="Arial" w:hAnsi="Arial" w:cs="Arial"/>
                <w:color w:val="2E74B5" w:themeColor="accent1" w:themeShade="BF"/>
                <w:sz w:val="16"/>
                <w:szCs w:val="16"/>
              </w:rPr>
              <w:t>, SS: any)</w:t>
            </w:r>
          </w:p>
        </w:tc>
        <w:tc>
          <w:tcPr>
            <w:tcW w:w="816" w:type="pct"/>
          </w:tcPr>
          <w:p w14:paraId="15ABA092" w14:textId="77777777" w:rsidR="00931AE8" w:rsidRPr="004675D3" w:rsidRDefault="00931AE8" w:rsidP="00E255EC">
            <w:pPr>
              <w:pStyle w:val="ListParagraph"/>
              <w:spacing w:line="240" w:lineRule="auto"/>
              <w:ind w:left="114"/>
              <w:cnfStyle w:val="000000000000" w:firstRow="0" w:lastRow="0" w:firstColumn="0" w:lastColumn="0" w:oddVBand="0" w:evenVBand="0" w:oddHBand="0" w:evenHBand="0" w:firstRowFirstColumn="0" w:firstRowLastColumn="0" w:lastRowFirstColumn="0" w:lastRowLastColumn="0"/>
              <w:rPr>
                <w:rFonts w:ascii="Arial" w:hAnsi="Arial" w:cs="Arial"/>
                <w:color w:val="FF0000"/>
                <w:sz w:val="16"/>
                <w:szCs w:val="16"/>
              </w:rPr>
            </w:pPr>
          </w:p>
        </w:tc>
        <w:tc>
          <w:tcPr>
            <w:tcW w:w="812" w:type="pct"/>
          </w:tcPr>
          <w:p w14:paraId="743BBBC8" w14:textId="77777777" w:rsidR="00931AE8" w:rsidRPr="004675D3" w:rsidRDefault="00931AE8" w:rsidP="00E255EC">
            <w:pPr>
              <w:pStyle w:val="ListParagraph"/>
              <w:spacing w:line="240" w:lineRule="auto"/>
              <w:ind w:left="114"/>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bl>
    <w:p w14:paraId="088368B3" w14:textId="7DB34C6C" w:rsidR="00176F55" w:rsidRPr="004675D3" w:rsidRDefault="00176F55">
      <w:pPr>
        <w:spacing w:line="259" w:lineRule="auto"/>
        <w:jc w:val="left"/>
        <w:rPr>
          <w:rFonts w:ascii="Arial" w:hAnsi="Arial" w:cs="Arial"/>
        </w:rPr>
      </w:pPr>
      <w:r w:rsidRPr="004675D3">
        <w:rPr>
          <w:rFonts w:ascii="Arial" w:hAnsi="Arial" w:cs="Arial"/>
        </w:rPr>
        <w:br w:type="page"/>
      </w:r>
    </w:p>
    <w:p w14:paraId="1B2655EF" w14:textId="31D79679" w:rsidR="00E9444D" w:rsidRPr="004675D3" w:rsidRDefault="00AA6B7E" w:rsidP="008B52D3">
      <w:pPr>
        <w:pStyle w:val="Heading1"/>
        <w:numPr>
          <w:ilvl w:val="0"/>
          <w:numId w:val="0"/>
        </w:numPr>
        <w:ind w:left="432"/>
        <w:rPr>
          <w:rFonts w:ascii="Arial" w:hAnsi="Arial" w:cs="Arial"/>
        </w:rPr>
      </w:pPr>
      <w:bookmarkStart w:id="21" w:name="_Toc84443081"/>
      <w:r>
        <w:rPr>
          <w:rFonts w:ascii="Arial" w:hAnsi="Arial" w:cs="Arial"/>
        </w:rPr>
        <w:lastRenderedPageBreak/>
        <w:t xml:space="preserve">S3 </w:t>
      </w:r>
      <w:r w:rsidR="00E9444D" w:rsidRPr="004675D3">
        <w:rPr>
          <w:rFonts w:ascii="Arial" w:hAnsi="Arial" w:cs="Arial"/>
        </w:rPr>
        <w:t xml:space="preserve">Distribution </w:t>
      </w:r>
      <w:r w:rsidR="008A04E1" w:rsidRPr="004675D3">
        <w:rPr>
          <w:rFonts w:ascii="Arial" w:hAnsi="Arial" w:cs="Arial"/>
        </w:rPr>
        <w:t xml:space="preserve">of </w:t>
      </w:r>
      <w:r w:rsidR="00E9444D" w:rsidRPr="004675D3">
        <w:rPr>
          <w:rFonts w:ascii="Arial" w:hAnsi="Arial" w:cs="Arial"/>
        </w:rPr>
        <w:t>policy instrument</w:t>
      </w:r>
      <w:r w:rsidR="00B048E1" w:rsidRPr="004675D3">
        <w:rPr>
          <w:rFonts w:ascii="Arial" w:hAnsi="Arial" w:cs="Arial"/>
        </w:rPr>
        <w:t>s</w:t>
      </w:r>
      <w:bookmarkEnd w:id="21"/>
    </w:p>
    <w:p w14:paraId="21EE9D66" w14:textId="65B64AC3" w:rsidR="00B125F1" w:rsidRPr="004675D3" w:rsidRDefault="007C56A0" w:rsidP="007F3B3C">
      <w:pPr>
        <w:keepNext/>
        <w:spacing w:line="259" w:lineRule="auto"/>
        <w:jc w:val="left"/>
        <w:rPr>
          <w:rFonts w:ascii="Arial" w:hAnsi="Arial" w:cs="Arial"/>
        </w:rPr>
      </w:pPr>
      <w:r w:rsidRPr="004675D3">
        <w:rPr>
          <w:noProof/>
        </w:rPr>
        <w:drawing>
          <wp:inline distT="0" distB="0" distL="0" distR="0" wp14:anchorId="747CE996" wp14:editId="479BFCEA">
            <wp:extent cx="5754659" cy="2925147"/>
            <wp:effectExtent l="0" t="0" r="0" b="8890"/>
            <wp:docPr id="11" name="Picture 11"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52">
                      <a:extLst>
                        <a:ext uri="{28A0092B-C50C-407E-A947-70E740481C1C}">
                          <a14:useLocalDpi xmlns:a14="http://schemas.microsoft.com/office/drawing/2010/main" val="0"/>
                        </a:ext>
                      </a:extLst>
                    </a:blip>
                    <a:stretch>
                      <a:fillRect/>
                    </a:stretch>
                  </pic:blipFill>
                  <pic:spPr>
                    <a:xfrm>
                      <a:off x="0" y="0"/>
                      <a:ext cx="5762380" cy="2929071"/>
                    </a:xfrm>
                    <a:prstGeom prst="rect">
                      <a:avLst/>
                    </a:prstGeom>
                  </pic:spPr>
                </pic:pic>
              </a:graphicData>
            </a:graphic>
          </wp:inline>
        </w:drawing>
      </w:r>
    </w:p>
    <w:p w14:paraId="6D0B257E" w14:textId="16381EF1" w:rsidR="00A45A75" w:rsidRPr="004675D3" w:rsidRDefault="00B125F1" w:rsidP="007F3B3C">
      <w:pPr>
        <w:pStyle w:val="Caption"/>
        <w:jc w:val="both"/>
        <w:rPr>
          <w:rFonts w:ascii="Arial" w:hAnsi="Arial" w:cs="Arial"/>
        </w:rPr>
      </w:pPr>
      <w:bookmarkStart w:id="22" w:name="_Toc84446281"/>
      <w:r w:rsidRPr="004675D3">
        <w:rPr>
          <w:rFonts w:ascii="Arial" w:hAnsi="Arial" w:cs="Arial"/>
        </w:rPr>
        <w:t xml:space="preserve">Figure </w:t>
      </w:r>
      <w:r w:rsidRPr="004675D3">
        <w:rPr>
          <w:rFonts w:ascii="Arial" w:hAnsi="Arial" w:cs="Arial"/>
        </w:rPr>
        <w:fldChar w:fldCharType="begin"/>
      </w:r>
      <w:r w:rsidRPr="004675D3">
        <w:rPr>
          <w:rFonts w:ascii="Arial" w:hAnsi="Arial" w:cs="Arial"/>
        </w:rPr>
        <w:instrText xml:space="preserve"> SEQ Figure \* ARABIC </w:instrText>
      </w:r>
      <w:r w:rsidRPr="004675D3">
        <w:rPr>
          <w:rFonts w:ascii="Arial" w:hAnsi="Arial" w:cs="Arial"/>
        </w:rPr>
        <w:fldChar w:fldCharType="separate"/>
      </w:r>
      <w:r w:rsidR="007F3B3C">
        <w:rPr>
          <w:rFonts w:ascii="Arial" w:hAnsi="Arial" w:cs="Arial"/>
          <w:noProof/>
        </w:rPr>
        <w:t>2</w:t>
      </w:r>
      <w:r w:rsidRPr="004675D3">
        <w:rPr>
          <w:rFonts w:ascii="Arial" w:hAnsi="Arial" w:cs="Arial"/>
        </w:rPr>
        <w:fldChar w:fldCharType="end"/>
      </w:r>
      <w:r w:rsidRPr="004675D3">
        <w:rPr>
          <w:rFonts w:ascii="Arial" w:hAnsi="Arial" w:cs="Arial"/>
        </w:rPr>
        <w:t xml:space="preserve"> </w:t>
      </w:r>
      <w:r w:rsidR="00360793" w:rsidRPr="004675D3">
        <w:rPr>
          <w:rFonts w:ascii="Arial" w:hAnsi="Arial" w:cs="Arial"/>
        </w:rPr>
        <w:t>Policy instrument types (identified by colours) in the G20. Bar charts indicate country coverage weighted using G20 members’ share of total emissions in 2018.</w:t>
      </w:r>
      <w:bookmarkEnd w:id="22"/>
      <w:r w:rsidRPr="004675D3">
        <w:rPr>
          <w:rFonts w:ascii="Arial" w:hAnsi="Arial" w:cs="Arial"/>
        </w:rPr>
        <w:t xml:space="preserve"> </w:t>
      </w:r>
    </w:p>
    <w:p w14:paraId="76F9557D" w14:textId="77777777" w:rsidR="00E84A6F" w:rsidRPr="004675D3" w:rsidRDefault="00E84A6F" w:rsidP="007F3B3C">
      <w:pPr>
        <w:keepNext/>
        <w:rPr>
          <w:rFonts w:ascii="Arial" w:hAnsi="Arial" w:cs="Arial"/>
        </w:rPr>
      </w:pPr>
      <w:r w:rsidRPr="004675D3">
        <w:rPr>
          <w:rFonts w:ascii="Arial" w:hAnsi="Arial" w:cs="Arial"/>
          <w:noProof/>
        </w:rPr>
        <w:drawing>
          <wp:inline distT="0" distB="0" distL="0" distR="0" wp14:anchorId="26018E8F" wp14:editId="24C6B913">
            <wp:extent cx="5678998" cy="3211975"/>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5804317" cy="3282854"/>
                    </a:xfrm>
                    <a:prstGeom prst="rect">
                      <a:avLst/>
                    </a:prstGeom>
                  </pic:spPr>
                </pic:pic>
              </a:graphicData>
            </a:graphic>
          </wp:inline>
        </w:drawing>
      </w:r>
    </w:p>
    <w:p w14:paraId="43ED13FC" w14:textId="44F5D1DA" w:rsidR="00272E89" w:rsidRPr="004675D3" w:rsidRDefault="00E84A6F" w:rsidP="007B0BC4">
      <w:pPr>
        <w:pStyle w:val="Caption"/>
        <w:jc w:val="both"/>
        <w:rPr>
          <w:rFonts w:ascii="Arial" w:hAnsi="Arial" w:cs="Arial"/>
        </w:rPr>
      </w:pPr>
      <w:bookmarkStart w:id="23" w:name="_Toc84446282"/>
      <w:r w:rsidRPr="004675D3">
        <w:rPr>
          <w:rFonts w:ascii="Arial" w:hAnsi="Arial" w:cs="Arial"/>
        </w:rPr>
        <w:t xml:space="preserve">Figure </w:t>
      </w:r>
      <w:r w:rsidRPr="004675D3">
        <w:rPr>
          <w:rFonts w:ascii="Arial" w:hAnsi="Arial" w:cs="Arial"/>
        </w:rPr>
        <w:fldChar w:fldCharType="begin"/>
      </w:r>
      <w:r w:rsidRPr="004675D3">
        <w:rPr>
          <w:rFonts w:ascii="Arial" w:hAnsi="Arial" w:cs="Arial"/>
        </w:rPr>
        <w:instrText xml:space="preserve"> SEQ Figure \* ARABIC </w:instrText>
      </w:r>
      <w:r w:rsidRPr="004675D3">
        <w:rPr>
          <w:rFonts w:ascii="Arial" w:hAnsi="Arial" w:cs="Arial"/>
        </w:rPr>
        <w:fldChar w:fldCharType="separate"/>
      </w:r>
      <w:r w:rsidR="007F3B3C">
        <w:rPr>
          <w:rFonts w:ascii="Arial" w:hAnsi="Arial" w:cs="Arial"/>
          <w:noProof/>
        </w:rPr>
        <w:t>3</w:t>
      </w:r>
      <w:r w:rsidRPr="004675D3">
        <w:rPr>
          <w:rFonts w:ascii="Arial" w:hAnsi="Arial" w:cs="Arial"/>
        </w:rPr>
        <w:fldChar w:fldCharType="end"/>
      </w:r>
      <w:r w:rsidRPr="004675D3">
        <w:rPr>
          <w:rFonts w:ascii="Arial" w:hAnsi="Arial" w:cs="Arial"/>
        </w:rPr>
        <w:t xml:space="preserve"> Distribution of policy instruments per sector and country.</w:t>
      </w:r>
      <w:bookmarkEnd w:id="23"/>
    </w:p>
    <w:p w14:paraId="24D1DF69" w14:textId="7CDB8628" w:rsidR="001E4C56" w:rsidRPr="004675D3" w:rsidRDefault="00235DE8" w:rsidP="00235DE8">
      <w:pPr>
        <w:pStyle w:val="HeadingforTableofContents"/>
        <w:rPr>
          <w:rFonts w:ascii="Arial" w:hAnsi="Arial" w:cs="Arial"/>
        </w:rPr>
      </w:pPr>
      <w:bookmarkStart w:id="24" w:name="_Toc84443082"/>
      <w:r w:rsidRPr="004675D3">
        <w:rPr>
          <w:rFonts w:ascii="Arial" w:hAnsi="Arial" w:cs="Arial"/>
        </w:rPr>
        <w:lastRenderedPageBreak/>
        <w:t>S</w:t>
      </w:r>
      <w:r w:rsidR="00AA6B7E">
        <w:rPr>
          <w:rFonts w:ascii="Arial" w:hAnsi="Arial" w:cs="Arial"/>
        </w:rPr>
        <w:t>4</w:t>
      </w:r>
      <w:r w:rsidRPr="004675D3">
        <w:rPr>
          <w:rFonts w:ascii="Arial" w:hAnsi="Arial" w:cs="Arial"/>
        </w:rPr>
        <w:t xml:space="preserve"> Cluster </w:t>
      </w:r>
      <w:r w:rsidR="005E2942" w:rsidRPr="004675D3">
        <w:rPr>
          <w:rFonts w:ascii="Arial" w:hAnsi="Arial" w:cs="Arial"/>
        </w:rPr>
        <w:t>description</w:t>
      </w:r>
      <w:bookmarkEnd w:id="24"/>
    </w:p>
    <w:p w14:paraId="007E314E" w14:textId="5BCE58BB" w:rsidR="000E0BAD" w:rsidRPr="004675D3" w:rsidRDefault="006629ED" w:rsidP="007F3B3C">
      <w:pPr>
        <w:keepNext/>
        <w:rPr>
          <w:rFonts w:ascii="Arial" w:hAnsi="Arial" w:cs="Arial"/>
        </w:rPr>
      </w:pPr>
      <w:r w:rsidRPr="004675D3">
        <w:rPr>
          <w:rFonts w:ascii="Arial" w:hAnsi="Arial" w:cs="Arial"/>
          <w:noProof/>
        </w:rPr>
        <w:t xml:space="preserve"> </w:t>
      </w:r>
      <w:r w:rsidRPr="004675D3">
        <w:rPr>
          <w:rFonts w:ascii="Arial" w:hAnsi="Arial" w:cs="Arial"/>
          <w:noProof/>
        </w:rPr>
        <w:drawing>
          <wp:inline distT="0" distB="0" distL="0" distR="0" wp14:anchorId="2B150328" wp14:editId="513A580F">
            <wp:extent cx="5731510" cy="3439160"/>
            <wp:effectExtent l="0" t="0" r="254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5731510" cy="3439160"/>
                    </a:xfrm>
                    <a:prstGeom prst="rect">
                      <a:avLst/>
                    </a:prstGeom>
                  </pic:spPr>
                </pic:pic>
              </a:graphicData>
            </a:graphic>
          </wp:inline>
        </w:drawing>
      </w:r>
    </w:p>
    <w:p w14:paraId="7F180744" w14:textId="03780B8C" w:rsidR="00235DE8" w:rsidRPr="004675D3" w:rsidRDefault="000E0BAD" w:rsidP="007F3B3C">
      <w:pPr>
        <w:pStyle w:val="Caption"/>
        <w:jc w:val="both"/>
        <w:rPr>
          <w:rFonts w:ascii="Arial" w:hAnsi="Arial" w:cs="Arial"/>
        </w:rPr>
      </w:pPr>
      <w:bookmarkStart w:id="25" w:name="_Toc84446283"/>
      <w:r w:rsidRPr="004675D3">
        <w:rPr>
          <w:rFonts w:ascii="Arial" w:hAnsi="Arial" w:cs="Arial"/>
        </w:rPr>
        <w:t xml:space="preserve">Figure </w:t>
      </w:r>
      <w:r w:rsidRPr="004675D3">
        <w:rPr>
          <w:rFonts w:ascii="Arial" w:hAnsi="Arial" w:cs="Arial"/>
        </w:rPr>
        <w:fldChar w:fldCharType="begin"/>
      </w:r>
      <w:r w:rsidRPr="004675D3">
        <w:rPr>
          <w:rFonts w:ascii="Arial" w:hAnsi="Arial" w:cs="Arial"/>
        </w:rPr>
        <w:instrText xml:space="preserve"> SEQ Figure \* ARABIC </w:instrText>
      </w:r>
      <w:r w:rsidRPr="004675D3">
        <w:rPr>
          <w:rFonts w:ascii="Arial" w:hAnsi="Arial" w:cs="Arial"/>
        </w:rPr>
        <w:fldChar w:fldCharType="separate"/>
      </w:r>
      <w:r w:rsidR="007F3B3C">
        <w:rPr>
          <w:rFonts w:ascii="Arial" w:hAnsi="Arial" w:cs="Arial"/>
          <w:noProof/>
        </w:rPr>
        <w:t>4</w:t>
      </w:r>
      <w:r w:rsidRPr="004675D3">
        <w:rPr>
          <w:rFonts w:ascii="Arial" w:hAnsi="Arial" w:cs="Arial"/>
        </w:rPr>
        <w:fldChar w:fldCharType="end"/>
      </w:r>
      <w:r w:rsidRPr="004675D3">
        <w:rPr>
          <w:rFonts w:ascii="Arial" w:hAnsi="Arial" w:cs="Arial"/>
        </w:rPr>
        <w:t xml:space="preserve"> Cluster results</w:t>
      </w:r>
      <w:r w:rsidR="001F6B76" w:rsidRPr="004675D3">
        <w:rPr>
          <w:rFonts w:ascii="Arial" w:hAnsi="Arial" w:cs="Arial"/>
        </w:rPr>
        <w:t>, each circle represents one policy option</w:t>
      </w:r>
      <w:r w:rsidRPr="004675D3">
        <w:rPr>
          <w:rFonts w:ascii="Arial" w:hAnsi="Arial" w:cs="Arial"/>
        </w:rPr>
        <w:t>.</w:t>
      </w:r>
      <w:r w:rsidR="00364662" w:rsidRPr="004675D3">
        <w:rPr>
          <w:rFonts w:ascii="Arial" w:hAnsi="Arial" w:cs="Arial"/>
        </w:rPr>
        <w:t xml:space="preserve"> </w:t>
      </w:r>
      <w:r w:rsidR="00571DA9" w:rsidRPr="004675D3">
        <w:rPr>
          <w:rFonts w:ascii="Arial" w:hAnsi="Arial" w:cs="Arial"/>
        </w:rPr>
        <w:t>No G20 country has removed fossil fuel subsidies. This policy option is not used in the cluster analysis but would be categorised ‘low coverage’.</w:t>
      </w:r>
      <w:bookmarkEnd w:id="25"/>
    </w:p>
    <w:tbl>
      <w:tblPr>
        <w:tblStyle w:val="PlainTable2"/>
        <w:tblW w:w="0" w:type="auto"/>
        <w:tblLook w:val="0600" w:firstRow="0" w:lastRow="0" w:firstColumn="0" w:lastColumn="0" w:noHBand="1" w:noVBand="1"/>
      </w:tblPr>
      <w:tblGrid>
        <w:gridCol w:w="3317"/>
        <w:gridCol w:w="828"/>
      </w:tblGrid>
      <w:tr w:rsidR="007C09E9" w:rsidRPr="004675D3" w14:paraId="0A172723" w14:textId="77777777" w:rsidTr="007F3B3C">
        <w:tc>
          <w:tcPr>
            <w:tcW w:w="0" w:type="auto"/>
            <w:hideMark/>
          </w:tcPr>
          <w:p w14:paraId="682AB30E" w14:textId="77777777" w:rsidR="007C09E9" w:rsidRPr="007F3B3C" w:rsidRDefault="007C09E9" w:rsidP="007C09E9">
            <w:pPr>
              <w:spacing w:line="240" w:lineRule="auto"/>
              <w:jc w:val="left"/>
              <w:rPr>
                <w:rFonts w:ascii="Arial" w:eastAsia="Times New Roman" w:hAnsi="Arial" w:cs="Arial"/>
                <w:b/>
                <w:bCs/>
                <w:szCs w:val="20"/>
                <w:lang w:eastAsia="en-GB"/>
              </w:rPr>
            </w:pPr>
            <w:r w:rsidRPr="007F3B3C">
              <w:rPr>
                <w:rFonts w:ascii="Arial" w:eastAsia="Times New Roman" w:hAnsi="Arial" w:cs="Arial"/>
                <w:b/>
                <w:bCs/>
                <w:szCs w:val="20"/>
                <w:lang w:eastAsia="en-GB"/>
              </w:rPr>
              <w:t>Number of Clusters:</w:t>
            </w:r>
          </w:p>
        </w:tc>
        <w:tc>
          <w:tcPr>
            <w:tcW w:w="0" w:type="auto"/>
            <w:hideMark/>
          </w:tcPr>
          <w:p w14:paraId="4924211D" w14:textId="77777777" w:rsidR="007C09E9" w:rsidRPr="007F3B3C" w:rsidRDefault="007C09E9" w:rsidP="007C09E9">
            <w:pPr>
              <w:spacing w:line="240" w:lineRule="auto"/>
              <w:jc w:val="left"/>
              <w:rPr>
                <w:rFonts w:ascii="Arial" w:eastAsia="Times New Roman" w:hAnsi="Arial" w:cs="Arial"/>
                <w:szCs w:val="20"/>
                <w:lang w:eastAsia="en-GB"/>
              </w:rPr>
            </w:pPr>
            <w:r w:rsidRPr="007F3B3C">
              <w:rPr>
                <w:rFonts w:ascii="Arial" w:eastAsia="Times New Roman" w:hAnsi="Arial" w:cs="Arial"/>
                <w:szCs w:val="20"/>
                <w:lang w:eastAsia="en-GB"/>
              </w:rPr>
              <w:t>3</w:t>
            </w:r>
          </w:p>
        </w:tc>
      </w:tr>
      <w:tr w:rsidR="007C09E9" w:rsidRPr="004675D3" w14:paraId="46F9B22C" w14:textId="77777777" w:rsidTr="007F3B3C">
        <w:tc>
          <w:tcPr>
            <w:tcW w:w="0" w:type="auto"/>
            <w:hideMark/>
          </w:tcPr>
          <w:p w14:paraId="354515C6" w14:textId="77777777" w:rsidR="007C09E9" w:rsidRPr="007F3B3C" w:rsidRDefault="007C09E9" w:rsidP="007C09E9">
            <w:pPr>
              <w:spacing w:line="240" w:lineRule="auto"/>
              <w:jc w:val="left"/>
              <w:rPr>
                <w:rFonts w:ascii="Arial" w:eastAsia="Times New Roman" w:hAnsi="Arial" w:cs="Arial"/>
                <w:b/>
                <w:bCs/>
                <w:szCs w:val="20"/>
                <w:lang w:eastAsia="en-GB"/>
              </w:rPr>
            </w:pPr>
            <w:r w:rsidRPr="007F3B3C">
              <w:rPr>
                <w:rFonts w:ascii="Arial" w:eastAsia="Times New Roman" w:hAnsi="Arial" w:cs="Arial"/>
                <w:b/>
                <w:bCs/>
                <w:szCs w:val="20"/>
                <w:lang w:eastAsia="en-GB"/>
              </w:rPr>
              <w:t>Number of Points:</w:t>
            </w:r>
          </w:p>
        </w:tc>
        <w:tc>
          <w:tcPr>
            <w:tcW w:w="0" w:type="auto"/>
            <w:hideMark/>
          </w:tcPr>
          <w:p w14:paraId="36611F47" w14:textId="77777777" w:rsidR="007C09E9" w:rsidRPr="007F3B3C" w:rsidRDefault="007C09E9" w:rsidP="007C09E9">
            <w:pPr>
              <w:spacing w:line="240" w:lineRule="auto"/>
              <w:jc w:val="left"/>
              <w:rPr>
                <w:rFonts w:ascii="Arial" w:eastAsia="Times New Roman" w:hAnsi="Arial" w:cs="Arial"/>
                <w:szCs w:val="20"/>
                <w:lang w:eastAsia="en-GB"/>
              </w:rPr>
            </w:pPr>
            <w:r w:rsidRPr="007F3B3C">
              <w:rPr>
                <w:rFonts w:ascii="Arial" w:eastAsia="Times New Roman" w:hAnsi="Arial" w:cs="Arial"/>
                <w:szCs w:val="20"/>
                <w:lang w:eastAsia="en-GB"/>
              </w:rPr>
              <w:t>49</w:t>
            </w:r>
          </w:p>
        </w:tc>
      </w:tr>
      <w:tr w:rsidR="007C09E9" w:rsidRPr="004675D3" w14:paraId="388A17A2" w14:textId="77777777" w:rsidTr="007F3B3C">
        <w:tc>
          <w:tcPr>
            <w:tcW w:w="0" w:type="auto"/>
            <w:hideMark/>
          </w:tcPr>
          <w:p w14:paraId="7435117B" w14:textId="77777777" w:rsidR="007C09E9" w:rsidRPr="007F3B3C" w:rsidRDefault="007C09E9" w:rsidP="007C09E9">
            <w:pPr>
              <w:spacing w:line="240" w:lineRule="auto"/>
              <w:jc w:val="left"/>
              <w:rPr>
                <w:rFonts w:ascii="Arial" w:eastAsia="Times New Roman" w:hAnsi="Arial" w:cs="Arial"/>
                <w:b/>
                <w:bCs/>
                <w:szCs w:val="20"/>
                <w:lang w:eastAsia="en-GB"/>
              </w:rPr>
            </w:pPr>
            <w:r w:rsidRPr="007F3B3C">
              <w:rPr>
                <w:rFonts w:ascii="Arial" w:eastAsia="Times New Roman" w:hAnsi="Arial" w:cs="Arial"/>
                <w:b/>
                <w:bCs/>
                <w:szCs w:val="20"/>
                <w:lang w:eastAsia="en-GB"/>
              </w:rPr>
              <w:t>Between-group Sum of Squares:</w:t>
            </w:r>
          </w:p>
        </w:tc>
        <w:tc>
          <w:tcPr>
            <w:tcW w:w="0" w:type="auto"/>
            <w:hideMark/>
          </w:tcPr>
          <w:p w14:paraId="32EC912C" w14:textId="77777777" w:rsidR="007C09E9" w:rsidRPr="007F3B3C" w:rsidRDefault="007C09E9" w:rsidP="007C09E9">
            <w:pPr>
              <w:spacing w:line="240" w:lineRule="auto"/>
              <w:jc w:val="left"/>
              <w:rPr>
                <w:rFonts w:ascii="Arial" w:eastAsia="Times New Roman" w:hAnsi="Arial" w:cs="Arial"/>
                <w:szCs w:val="20"/>
                <w:lang w:eastAsia="en-GB"/>
              </w:rPr>
            </w:pPr>
            <w:r w:rsidRPr="007F3B3C">
              <w:rPr>
                <w:rFonts w:ascii="Arial" w:eastAsia="Times New Roman" w:hAnsi="Arial" w:cs="Arial"/>
                <w:szCs w:val="20"/>
                <w:lang w:eastAsia="en-GB"/>
              </w:rPr>
              <w:t>8.5516</w:t>
            </w:r>
          </w:p>
        </w:tc>
      </w:tr>
      <w:tr w:rsidR="007C09E9" w:rsidRPr="004675D3" w14:paraId="683F9A41" w14:textId="77777777" w:rsidTr="007F3B3C">
        <w:tc>
          <w:tcPr>
            <w:tcW w:w="0" w:type="auto"/>
            <w:hideMark/>
          </w:tcPr>
          <w:p w14:paraId="24B962BE" w14:textId="77777777" w:rsidR="007C09E9" w:rsidRPr="007F3B3C" w:rsidRDefault="007C09E9" w:rsidP="007C09E9">
            <w:pPr>
              <w:spacing w:line="240" w:lineRule="auto"/>
              <w:jc w:val="left"/>
              <w:rPr>
                <w:rFonts w:ascii="Arial" w:eastAsia="Times New Roman" w:hAnsi="Arial" w:cs="Arial"/>
                <w:b/>
                <w:bCs/>
                <w:szCs w:val="20"/>
                <w:lang w:eastAsia="en-GB"/>
              </w:rPr>
            </w:pPr>
            <w:r w:rsidRPr="007F3B3C">
              <w:rPr>
                <w:rFonts w:ascii="Arial" w:eastAsia="Times New Roman" w:hAnsi="Arial" w:cs="Arial"/>
                <w:b/>
                <w:bCs/>
                <w:szCs w:val="20"/>
                <w:lang w:eastAsia="en-GB"/>
              </w:rPr>
              <w:t>Within-group Sum of Squares:</w:t>
            </w:r>
          </w:p>
        </w:tc>
        <w:tc>
          <w:tcPr>
            <w:tcW w:w="0" w:type="auto"/>
            <w:hideMark/>
          </w:tcPr>
          <w:p w14:paraId="770DD209" w14:textId="77777777" w:rsidR="007C09E9" w:rsidRPr="007F3B3C" w:rsidRDefault="007C09E9" w:rsidP="007C09E9">
            <w:pPr>
              <w:spacing w:line="240" w:lineRule="auto"/>
              <w:jc w:val="left"/>
              <w:rPr>
                <w:rFonts w:ascii="Arial" w:eastAsia="Times New Roman" w:hAnsi="Arial" w:cs="Arial"/>
                <w:szCs w:val="20"/>
                <w:lang w:eastAsia="en-GB"/>
              </w:rPr>
            </w:pPr>
            <w:r w:rsidRPr="007F3B3C">
              <w:rPr>
                <w:rFonts w:ascii="Arial" w:eastAsia="Times New Roman" w:hAnsi="Arial" w:cs="Arial"/>
                <w:szCs w:val="20"/>
                <w:lang w:eastAsia="en-GB"/>
              </w:rPr>
              <w:t>1.0859</w:t>
            </w:r>
          </w:p>
        </w:tc>
      </w:tr>
      <w:tr w:rsidR="007C09E9" w:rsidRPr="004675D3" w14:paraId="6A326C2C" w14:textId="77777777" w:rsidTr="007F3B3C">
        <w:tc>
          <w:tcPr>
            <w:tcW w:w="0" w:type="auto"/>
            <w:hideMark/>
          </w:tcPr>
          <w:p w14:paraId="6B0D9A89" w14:textId="77777777" w:rsidR="007C09E9" w:rsidRPr="007F3B3C" w:rsidRDefault="007C09E9" w:rsidP="007C09E9">
            <w:pPr>
              <w:spacing w:line="240" w:lineRule="auto"/>
              <w:jc w:val="left"/>
              <w:rPr>
                <w:rFonts w:ascii="Arial" w:eastAsia="Times New Roman" w:hAnsi="Arial" w:cs="Arial"/>
                <w:b/>
                <w:bCs/>
                <w:szCs w:val="20"/>
                <w:lang w:eastAsia="en-GB"/>
              </w:rPr>
            </w:pPr>
            <w:r w:rsidRPr="007F3B3C">
              <w:rPr>
                <w:rFonts w:ascii="Arial" w:eastAsia="Times New Roman" w:hAnsi="Arial" w:cs="Arial"/>
                <w:b/>
                <w:bCs/>
                <w:szCs w:val="20"/>
                <w:lang w:eastAsia="en-GB"/>
              </w:rPr>
              <w:t>Total Sum of Squares:</w:t>
            </w:r>
          </w:p>
        </w:tc>
        <w:tc>
          <w:tcPr>
            <w:tcW w:w="0" w:type="auto"/>
            <w:hideMark/>
          </w:tcPr>
          <w:p w14:paraId="03EE5B55" w14:textId="77777777" w:rsidR="007C09E9" w:rsidRPr="007F3B3C" w:rsidRDefault="007C09E9" w:rsidP="007C09E9">
            <w:pPr>
              <w:spacing w:line="240" w:lineRule="auto"/>
              <w:jc w:val="left"/>
              <w:rPr>
                <w:rFonts w:ascii="Arial" w:eastAsia="Times New Roman" w:hAnsi="Arial" w:cs="Arial"/>
                <w:szCs w:val="20"/>
                <w:lang w:eastAsia="en-GB"/>
              </w:rPr>
            </w:pPr>
            <w:r w:rsidRPr="007F3B3C">
              <w:rPr>
                <w:rFonts w:ascii="Arial" w:eastAsia="Times New Roman" w:hAnsi="Arial" w:cs="Arial"/>
                <w:szCs w:val="20"/>
                <w:lang w:eastAsia="en-GB"/>
              </w:rPr>
              <w:t>9.6375</w:t>
            </w:r>
          </w:p>
        </w:tc>
      </w:tr>
      <w:tr w:rsidR="007C09E9" w:rsidRPr="004675D3" w14:paraId="4C599C78" w14:textId="77777777" w:rsidTr="007F3B3C">
        <w:tc>
          <w:tcPr>
            <w:tcW w:w="0" w:type="auto"/>
            <w:hideMark/>
          </w:tcPr>
          <w:p w14:paraId="2B6CB8D7" w14:textId="77777777" w:rsidR="007C09E9" w:rsidRPr="007F3B3C" w:rsidRDefault="007C09E9" w:rsidP="007C09E9">
            <w:pPr>
              <w:spacing w:line="240" w:lineRule="auto"/>
              <w:jc w:val="left"/>
              <w:rPr>
                <w:rFonts w:ascii="Arial" w:eastAsia="Times New Roman" w:hAnsi="Arial" w:cs="Arial"/>
                <w:szCs w:val="20"/>
                <w:lang w:eastAsia="en-GB"/>
              </w:rPr>
            </w:pPr>
          </w:p>
        </w:tc>
        <w:tc>
          <w:tcPr>
            <w:tcW w:w="0" w:type="auto"/>
            <w:hideMark/>
          </w:tcPr>
          <w:p w14:paraId="04FBD651" w14:textId="77777777" w:rsidR="007C09E9" w:rsidRPr="007F3B3C" w:rsidRDefault="007C09E9" w:rsidP="007C09E9">
            <w:pPr>
              <w:spacing w:line="240" w:lineRule="auto"/>
              <w:jc w:val="left"/>
              <w:rPr>
                <w:rFonts w:ascii="Arial" w:eastAsia="Times New Roman" w:hAnsi="Arial" w:cs="Arial"/>
                <w:szCs w:val="20"/>
                <w:lang w:eastAsia="en-GB"/>
              </w:rPr>
            </w:pPr>
          </w:p>
        </w:tc>
      </w:tr>
    </w:tbl>
    <w:p w14:paraId="24D48688" w14:textId="77777777" w:rsidR="007C09E9" w:rsidRPr="007F3B3C" w:rsidRDefault="007C09E9" w:rsidP="007C09E9">
      <w:pPr>
        <w:spacing w:after="0" w:line="240" w:lineRule="auto"/>
        <w:jc w:val="left"/>
        <w:rPr>
          <w:rFonts w:ascii="Arial" w:eastAsia="Times New Roman" w:hAnsi="Arial" w:cs="Arial"/>
          <w:sz w:val="24"/>
          <w:szCs w:val="24"/>
          <w:lang w:eastAsia="en-GB"/>
        </w:rPr>
      </w:pPr>
    </w:p>
    <w:tbl>
      <w:tblPr>
        <w:tblStyle w:val="PlainTable2"/>
        <w:tblW w:w="9793" w:type="dxa"/>
        <w:tblLayout w:type="fixed"/>
        <w:tblLook w:val="04A0" w:firstRow="1" w:lastRow="0" w:firstColumn="1" w:lastColumn="0" w:noHBand="0" w:noVBand="1"/>
      </w:tblPr>
      <w:tblGrid>
        <w:gridCol w:w="1834"/>
        <w:gridCol w:w="238"/>
        <w:gridCol w:w="1756"/>
        <w:gridCol w:w="236"/>
        <w:gridCol w:w="3182"/>
        <w:gridCol w:w="2311"/>
        <w:gridCol w:w="236"/>
      </w:tblGrid>
      <w:tr w:rsidR="001F6B76" w:rsidRPr="004675D3" w14:paraId="61F9FB48" w14:textId="77777777" w:rsidTr="003603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4" w:type="dxa"/>
            <w:hideMark/>
          </w:tcPr>
          <w:p w14:paraId="0839C835" w14:textId="77777777" w:rsidR="007C09E9" w:rsidRPr="007F3B3C" w:rsidRDefault="007C09E9" w:rsidP="007C09E9">
            <w:pPr>
              <w:spacing w:line="240" w:lineRule="auto"/>
              <w:jc w:val="left"/>
              <w:rPr>
                <w:rFonts w:ascii="Arial" w:eastAsia="Times New Roman" w:hAnsi="Arial" w:cs="Arial"/>
                <w:szCs w:val="20"/>
                <w:lang w:eastAsia="en-GB"/>
              </w:rPr>
            </w:pPr>
          </w:p>
        </w:tc>
        <w:tc>
          <w:tcPr>
            <w:tcW w:w="238" w:type="dxa"/>
            <w:hideMark/>
          </w:tcPr>
          <w:p w14:paraId="2BC24098" w14:textId="77777777" w:rsidR="007C09E9" w:rsidRPr="007F3B3C" w:rsidRDefault="007C09E9" w:rsidP="007C09E9">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p>
        </w:tc>
        <w:tc>
          <w:tcPr>
            <w:tcW w:w="1756" w:type="dxa"/>
            <w:hideMark/>
          </w:tcPr>
          <w:p w14:paraId="5634C88E" w14:textId="77777777" w:rsidR="007C09E9" w:rsidRPr="007F3B3C" w:rsidRDefault="007C09E9" w:rsidP="007C09E9">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p>
        </w:tc>
        <w:tc>
          <w:tcPr>
            <w:tcW w:w="236" w:type="dxa"/>
            <w:hideMark/>
          </w:tcPr>
          <w:p w14:paraId="41FED869" w14:textId="77777777" w:rsidR="007C09E9" w:rsidRPr="007F3B3C" w:rsidRDefault="007C09E9" w:rsidP="007C09E9">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p>
        </w:tc>
        <w:tc>
          <w:tcPr>
            <w:tcW w:w="5493" w:type="dxa"/>
            <w:gridSpan w:val="2"/>
            <w:hideMark/>
          </w:tcPr>
          <w:p w14:paraId="68C11267" w14:textId="5DC70C4F" w:rsidR="007C09E9" w:rsidRPr="007F3B3C" w:rsidRDefault="007C09E9" w:rsidP="007C09E9">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r w:rsidRPr="007F3B3C">
              <w:rPr>
                <w:rFonts w:ascii="Arial" w:eastAsia="Times New Roman" w:hAnsi="Arial" w:cs="Arial"/>
                <w:szCs w:val="20"/>
                <w:lang w:eastAsia="en-GB"/>
              </w:rPr>
              <w:t>Cent</w:t>
            </w:r>
            <w:r w:rsidR="008721FF" w:rsidRPr="007F3B3C">
              <w:rPr>
                <w:rFonts w:ascii="Arial" w:eastAsia="Times New Roman" w:hAnsi="Arial" w:cs="Arial"/>
                <w:szCs w:val="20"/>
                <w:lang w:eastAsia="en-GB"/>
              </w:rPr>
              <w:t>r</w:t>
            </w:r>
            <w:r w:rsidRPr="007F3B3C">
              <w:rPr>
                <w:rFonts w:ascii="Arial" w:eastAsia="Times New Roman" w:hAnsi="Arial" w:cs="Arial"/>
                <w:szCs w:val="20"/>
                <w:lang w:eastAsia="en-GB"/>
              </w:rPr>
              <w:t>es</w:t>
            </w:r>
          </w:p>
        </w:tc>
        <w:tc>
          <w:tcPr>
            <w:tcW w:w="236" w:type="dxa"/>
            <w:hideMark/>
          </w:tcPr>
          <w:p w14:paraId="51EBE696" w14:textId="77777777" w:rsidR="007C09E9" w:rsidRPr="007F3B3C" w:rsidRDefault="007C09E9" w:rsidP="007C09E9">
            <w:pPr>
              <w:spacing w:line="240"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1F497D"/>
                <w:szCs w:val="20"/>
                <w:lang w:eastAsia="en-GB"/>
              </w:rPr>
            </w:pPr>
          </w:p>
        </w:tc>
      </w:tr>
      <w:tr w:rsidR="00AB45BC" w:rsidRPr="004675D3" w14:paraId="0E8DBE90" w14:textId="77777777" w:rsidTr="003603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4" w:type="dxa"/>
            <w:hideMark/>
          </w:tcPr>
          <w:p w14:paraId="4E29DD7C" w14:textId="77777777" w:rsidR="007C09E9" w:rsidRPr="007F3B3C" w:rsidRDefault="007C09E9" w:rsidP="005E2942">
            <w:pPr>
              <w:spacing w:line="240" w:lineRule="auto"/>
              <w:jc w:val="center"/>
              <w:rPr>
                <w:rFonts w:ascii="Arial" w:eastAsia="Times New Roman" w:hAnsi="Arial" w:cs="Arial"/>
                <w:szCs w:val="20"/>
                <w:lang w:eastAsia="en-GB"/>
              </w:rPr>
            </w:pPr>
            <w:r w:rsidRPr="007F3B3C">
              <w:rPr>
                <w:rFonts w:ascii="Arial" w:eastAsia="Times New Roman" w:hAnsi="Arial" w:cs="Arial"/>
                <w:szCs w:val="20"/>
                <w:lang w:eastAsia="en-GB"/>
              </w:rPr>
              <w:t>Clusters</w:t>
            </w:r>
          </w:p>
        </w:tc>
        <w:tc>
          <w:tcPr>
            <w:tcW w:w="238" w:type="dxa"/>
            <w:hideMark/>
          </w:tcPr>
          <w:p w14:paraId="3722C034" w14:textId="77777777" w:rsidR="007C09E9" w:rsidRPr="007F3B3C" w:rsidRDefault="007C09E9" w:rsidP="005E2942">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Cs w:val="20"/>
                <w:lang w:eastAsia="en-GB"/>
              </w:rPr>
            </w:pPr>
          </w:p>
        </w:tc>
        <w:tc>
          <w:tcPr>
            <w:tcW w:w="1756" w:type="dxa"/>
            <w:hideMark/>
          </w:tcPr>
          <w:p w14:paraId="4B3462C8" w14:textId="64C08FAC" w:rsidR="007C09E9" w:rsidRPr="007F3B3C" w:rsidRDefault="007C09E9" w:rsidP="005E2942">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Cs w:val="20"/>
                <w:lang w:eastAsia="en-GB"/>
              </w:rPr>
            </w:pPr>
            <w:r w:rsidRPr="007F3B3C">
              <w:rPr>
                <w:rFonts w:ascii="Arial" w:eastAsia="Times New Roman" w:hAnsi="Arial" w:cs="Arial"/>
                <w:b/>
                <w:bCs/>
                <w:szCs w:val="20"/>
                <w:lang w:eastAsia="en-GB"/>
              </w:rPr>
              <w:t xml:space="preserve">Number of </w:t>
            </w:r>
            <w:r w:rsidR="00AB45BC" w:rsidRPr="004675D3">
              <w:rPr>
                <w:rFonts w:ascii="Arial" w:eastAsia="Times New Roman" w:hAnsi="Arial" w:cs="Arial"/>
                <w:b/>
                <w:bCs/>
                <w:szCs w:val="20"/>
                <w:lang w:eastAsia="en-GB"/>
              </w:rPr>
              <w:t>i</w:t>
            </w:r>
            <w:r w:rsidRPr="007F3B3C">
              <w:rPr>
                <w:rFonts w:ascii="Arial" w:eastAsia="Times New Roman" w:hAnsi="Arial" w:cs="Arial"/>
                <w:b/>
                <w:bCs/>
                <w:szCs w:val="20"/>
                <w:lang w:eastAsia="en-GB"/>
              </w:rPr>
              <w:t>tems</w:t>
            </w:r>
          </w:p>
        </w:tc>
        <w:tc>
          <w:tcPr>
            <w:tcW w:w="236" w:type="dxa"/>
            <w:hideMark/>
          </w:tcPr>
          <w:p w14:paraId="33BE6EF8" w14:textId="77777777" w:rsidR="007C09E9" w:rsidRPr="007F3B3C" w:rsidRDefault="007C09E9" w:rsidP="005E2942">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Cs w:val="20"/>
                <w:lang w:eastAsia="en-GB"/>
              </w:rPr>
            </w:pPr>
          </w:p>
        </w:tc>
        <w:tc>
          <w:tcPr>
            <w:tcW w:w="3182" w:type="dxa"/>
            <w:hideMark/>
          </w:tcPr>
          <w:p w14:paraId="2BB3F18B" w14:textId="38302DA8" w:rsidR="007C09E9" w:rsidRPr="007F3B3C" w:rsidRDefault="008721FF" w:rsidP="005E2942">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Cs w:val="20"/>
                <w:lang w:eastAsia="en-GB"/>
              </w:rPr>
            </w:pPr>
            <w:r w:rsidRPr="007F3B3C">
              <w:rPr>
                <w:rFonts w:ascii="Arial" w:eastAsia="Times New Roman" w:hAnsi="Arial" w:cs="Arial"/>
                <w:b/>
                <w:bCs/>
                <w:szCs w:val="20"/>
                <w:lang w:eastAsia="en-GB"/>
              </w:rPr>
              <w:t>Emissions share</w:t>
            </w:r>
          </w:p>
        </w:tc>
        <w:tc>
          <w:tcPr>
            <w:tcW w:w="2311" w:type="dxa"/>
            <w:hideMark/>
          </w:tcPr>
          <w:p w14:paraId="314625FB" w14:textId="2B5462A5" w:rsidR="007C09E9" w:rsidRPr="007F3B3C" w:rsidRDefault="002C1575" w:rsidP="005E2942">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Cs w:val="20"/>
                <w:lang w:eastAsia="en-GB"/>
              </w:rPr>
            </w:pPr>
            <w:r w:rsidRPr="004675D3">
              <w:rPr>
                <w:rFonts w:ascii="Arial" w:eastAsia="Times New Roman" w:hAnsi="Arial" w:cs="Arial"/>
                <w:b/>
                <w:bCs/>
                <w:szCs w:val="20"/>
                <w:lang w:eastAsia="en-GB"/>
              </w:rPr>
              <w:t>Count</w:t>
            </w:r>
            <w:r w:rsidR="008721FF" w:rsidRPr="007F3B3C">
              <w:rPr>
                <w:rFonts w:ascii="Arial" w:eastAsia="Times New Roman" w:hAnsi="Arial" w:cs="Arial"/>
                <w:b/>
                <w:bCs/>
                <w:szCs w:val="20"/>
                <w:lang w:eastAsia="en-GB"/>
              </w:rPr>
              <w:t xml:space="preserve"> of countries</w:t>
            </w:r>
          </w:p>
        </w:tc>
        <w:tc>
          <w:tcPr>
            <w:tcW w:w="236" w:type="dxa"/>
            <w:hideMark/>
          </w:tcPr>
          <w:p w14:paraId="6B2BE8C5" w14:textId="77777777" w:rsidR="007C09E9" w:rsidRPr="007F3B3C" w:rsidRDefault="007C09E9" w:rsidP="007C09E9">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1F497D"/>
                <w:szCs w:val="20"/>
                <w:lang w:eastAsia="en-GB"/>
              </w:rPr>
            </w:pPr>
          </w:p>
        </w:tc>
      </w:tr>
      <w:tr w:rsidR="00AB45BC" w:rsidRPr="004675D3" w14:paraId="5E76B22C" w14:textId="77777777" w:rsidTr="00360341">
        <w:tc>
          <w:tcPr>
            <w:cnfStyle w:val="001000000000" w:firstRow="0" w:lastRow="0" w:firstColumn="1" w:lastColumn="0" w:oddVBand="0" w:evenVBand="0" w:oddHBand="0" w:evenHBand="0" w:firstRowFirstColumn="0" w:firstRowLastColumn="0" w:lastRowFirstColumn="0" w:lastRowLastColumn="0"/>
            <w:tcW w:w="1834" w:type="dxa"/>
            <w:hideMark/>
          </w:tcPr>
          <w:p w14:paraId="6ED44A7D" w14:textId="069CCF97" w:rsidR="007C09E9" w:rsidRPr="007F3B3C" w:rsidRDefault="008721FF" w:rsidP="005E2942">
            <w:pPr>
              <w:spacing w:line="240" w:lineRule="auto"/>
              <w:jc w:val="center"/>
              <w:rPr>
                <w:rFonts w:ascii="Arial" w:eastAsia="Times New Roman" w:hAnsi="Arial" w:cs="Arial"/>
                <w:szCs w:val="20"/>
                <w:lang w:eastAsia="en-GB"/>
              </w:rPr>
            </w:pPr>
            <w:r w:rsidRPr="007F3B3C">
              <w:rPr>
                <w:rFonts w:ascii="Arial" w:eastAsia="Times New Roman" w:hAnsi="Arial" w:cs="Arial"/>
                <w:szCs w:val="20"/>
                <w:lang w:eastAsia="en-GB"/>
              </w:rPr>
              <w:t>High</w:t>
            </w:r>
          </w:p>
        </w:tc>
        <w:tc>
          <w:tcPr>
            <w:tcW w:w="238" w:type="dxa"/>
            <w:hideMark/>
          </w:tcPr>
          <w:p w14:paraId="613A95BE" w14:textId="77777777" w:rsidR="007C09E9" w:rsidRPr="007F3B3C" w:rsidRDefault="007C09E9" w:rsidP="005E2942">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Cs w:val="20"/>
                <w:lang w:eastAsia="en-GB"/>
              </w:rPr>
            </w:pPr>
          </w:p>
        </w:tc>
        <w:tc>
          <w:tcPr>
            <w:tcW w:w="1756" w:type="dxa"/>
            <w:hideMark/>
          </w:tcPr>
          <w:p w14:paraId="1F8F8F70" w14:textId="77777777" w:rsidR="007C09E9" w:rsidRPr="007F3B3C" w:rsidRDefault="007C09E9" w:rsidP="005E2942">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r w:rsidRPr="007F3B3C">
              <w:rPr>
                <w:rFonts w:ascii="Arial" w:eastAsia="Times New Roman" w:hAnsi="Arial" w:cs="Arial"/>
                <w:szCs w:val="20"/>
                <w:lang w:eastAsia="en-GB"/>
              </w:rPr>
              <w:t>26</w:t>
            </w:r>
          </w:p>
        </w:tc>
        <w:tc>
          <w:tcPr>
            <w:tcW w:w="236" w:type="dxa"/>
            <w:hideMark/>
          </w:tcPr>
          <w:p w14:paraId="617E875D" w14:textId="77777777" w:rsidR="007C09E9" w:rsidRPr="007F3B3C" w:rsidRDefault="007C09E9" w:rsidP="005E2942">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p>
        </w:tc>
        <w:tc>
          <w:tcPr>
            <w:tcW w:w="3182" w:type="dxa"/>
            <w:hideMark/>
          </w:tcPr>
          <w:p w14:paraId="4E1BE628" w14:textId="77777777" w:rsidR="007C09E9" w:rsidRPr="007F3B3C" w:rsidRDefault="007C09E9" w:rsidP="005E2942">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r w:rsidRPr="007F3B3C">
              <w:rPr>
                <w:rFonts w:ascii="Arial" w:eastAsia="Times New Roman" w:hAnsi="Arial" w:cs="Arial"/>
                <w:szCs w:val="20"/>
                <w:lang w:eastAsia="en-GB"/>
              </w:rPr>
              <w:t>0.92323</w:t>
            </w:r>
          </w:p>
        </w:tc>
        <w:tc>
          <w:tcPr>
            <w:tcW w:w="2311" w:type="dxa"/>
            <w:hideMark/>
          </w:tcPr>
          <w:p w14:paraId="1F597189" w14:textId="77777777" w:rsidR="007C09E9" w:rsidRPr="007F3B3C" w:rsidRDefault="007C09E9" w:rsidP="005E2942">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r w:rsidRPr="007F3B3C">
              <w:rPr>
                <w:rFonts w:ascii="Arial" w:eastAsia="Times New Roman" w:hAnsi="Arial" w:cs="Arial"/>
                <w:szCs w:val="20"/>
                <w:lang w:eastAsia="en-GB"/>
              </w:rPr>
              <w:t>14.615</w:t>
            </w:r>
          </w:p>
        </w:tc>
        <w:tc>
          <w:tcPr>
            <w:tcW w:w="236" w:type="dxa"/>
            <w:hideMark/>
          </w:tcPr>
          <w:p w14:paraId="456568EA" w14:textId="77777777" w:rsidR="007C09E9" w:rsidRPr="007F3B3C" w:rsidRDefault="007C09E9" w:rsidP="007C09E9">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p>
        </w:tc>
      </w:tr>
      <w:tr w:rsidR="00AB45BC" w:rsidRPr="004675D3" w14:paraId="1D661A17" w14:textId="77777777" w:rsidTr="003603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4" w:type="dxa"/>
            <w:hideMark/>
          </w:tcPr>
          <w:p w14:paraId="0A9E21AC" w14:textId="48D4883B" w:rsidR="007C09E9" w:rsidRPr="007F3B3C" w:rsidRDefault="008721FF" w:rsidP="005E2942">
            <w:pPr>
              <w:spacing w:line="240" w:lineRule="auto"/>
              <w:jc w:val="center"/>
              <w:rPr>
                <w:rFonts w:ascii="Arial" w:eastAsia="Times New Roman" w:hAnsi="Arial" w:cs="Arial"/>
                <w:szCs w:val="20"/>
                <w:lang w:eastAsia="en-GB"/>
              </w:rPr>
            </w:pPr>
            <w:r w:rsidRPr="007F3B3C">
              <w:rPr>
                <w:rFonts w:ascii="Arial" w:eastAsia="Times New Roman" w:hAnsi="Arial" w:cs="Arial"/>
                <w:szCs w:val="20"/>
                <w:lang w:eastAsia="en-GB"/>
              </w:rPr>
              <w:t xml:space="preserve">Medium </w:t>
            </w:r>
          </w:p>
        </w:tc>
        <w:tc>
          <w:tcPr>
            <w:tcW w:w="238" w:type="dxa"/>
            <w:hideMark/>
          </w:tcPr>
          <w:p w14:paraId="6F7E753C" w14:textId="77777777" w:rsidR="007C09E9" w:rsidRPr="007F3B3C" w:rsidRDefault="007C09E9" w:rsidP="005E2942">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Cs w:val="20"/>
                <w:lang w:eastAsia="en-GB"/>
              </w:rPr>
            </w:pPr>
          </w:p>
        </w:tc>
        <w:tc>
          <w:tcPr>
            <w:tcW w:w="1756" w:type="dxa"/>
            <w:hideMark/>
          </w:tcPr>
          <w:p w14:paraId="61647003" w14:textId="77777777" w:rsidR="007C09E9" w:rsidRPr="007F3B3C" w:rsidRDefault="007C09E9" w:rsidP="005E2942">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eastAsia="en-GB"/>
              </w:rPr>
            </w:pPr>
            <w:r w:rsidRPr="007F3B3C">
              <w:rPr>
                <w:rFonts w:ascii="Arial" w:eastAsia="Times New Roman" w:hAnsi="Arial" w:cs="Arial"/>
                <w:szCs w:val="20"/>
                <w:lang w:eastAsia="en-GB"/>
              </w:rPr>
              <w:t>15</w:t>
            </w:r>
          </w:p>
        </w:tc>
        <w:tc>
          <w:tcPr>
            <w:tcW w:w="236" w:type="dxa"/>
            <w:hideMark/>
          </w:tcPr>
          <w:p w14:paraId="652A0E9C" w14:textId="77777777" w:rsidR="007C09E9" w:rsidRPr="007F3B3C" w:rsidRDefault="007C09E9" w:rsidP="005E2942">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eastAsia="en-GB"/>
              </w:rPr>
            </w:pPr>
          </w:p>
        </w:tc>
        <w:tc>
          <w:tcPr>
            <w:tcW w:w="3182" w:type="dxa"/>
            <w:hideMark/>
          </w:tcPr>
          <w:p w14:paraId="197F699D" w14:textId="77777777" w:rsidR="007C09E9" w:rsidRPr="007F3B3C" w:rsidRDefault="007C09E9" w:rsidP="005E2942">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eastAsia="en-GB"/>
              </w:rPr>
            </w:pPr>
            <w:r w:rsidRPr="007F3B3C">
              <w:rPr>
                <w:rFonts w:ascii="Arial" w:eastAsia="Times New Roman" w:hAnsi="Arial" w:cs="Arial"/>
                <w:szCs w:val="20"/>
                <w:lang w:eastAsia="en-GB"/>
              </w:rPr>
              <w:t>0.48722</w:t>
            </w:r>
          </w:p>
        </w:tc>
        <w:tc>
          <w:tcPr>
            <w:tcW w:w="2311" w:type="dxa"/>
            <w:hideMark/>
          </w:tcPr>
          <w:p w14:paraId="480377F0" w14:textId="77777777" w:rsidR="007C09E9" w:rsidRPr="007F3B3C" w:rsidRDefault="007C09E9" w:rsidP="005E2942">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eastAsia="en-GB"/>
              </w:rPr>
            </w:pPr>
            <w:r w:rsidRPr="007F3B3C">
              <w:rPr>
                <w:rFonts w:ascii="Arial" w:eastAsia="Times New Roman" w:hAnsi="Arial" w:cs="Arial"/>
                <w:szCs w:val="20"/>
                <w:lang w:eastAsia="en-GB"/>
              </w:rPr>
              <w:t>7.7333</w:t>
            </w:r>
          </w:p>
        </w:tc>
        <w:tc>
          <w:tcPr>
            <w:tcW w:w="236" w:type="dxa"/>
            <w:hideMark/>
          </w:tcPr>
          <w:p w14:paraId="481D0C1A" w14:textId="77777777" w:rsidR="007C09E9" w:rsidRPr="007F3B3C" w:rsidRDefault="007C09E9" w:rsidP="007C09E9">
            <w:pPr>
              <w:spacing w:line="240" w:lineRule="auto"/>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eastAsia="en-GB"/>
              </w:rPr>
            </w:pPr>
          </w:p>
        </w:tc>
      </w:tr>
      <w:tr w:rsidR="00AB45BC" w:rsidRPr="004675D3" w14:paraId="28406B7A" w14:textId="77777777" w:rsidTr="00360341">
        <w:tc>
          <w:tcPr>
            <w:cnfStyle w:val="001000000000" w:firstRow="0" w:lastRow="0" w:firstColumn="1" w:lastColumn="0" w:oddVBand="0" w:evenVBand="0" w:oddHBand="0" w:evenHBand="0" w:firstRowFirstColumn="0" w:firstRowLastColumn="0" w:lastRowFirstColumn="0" w:lastRowLastColumn="0"/>
            <w:tcW w:w="1834" w:type="dxa"/>
            <w:hideMark/>
          </w:tcPr>
          <w:p w14:paraId="71039342" w14:textId="3954864D" w:rsidR="007C09E9" w:rsidRPr="007F3B3C" w:rsidRDefault="008721FF" w:rsidP="005E2942">
            <w:pPr>
              <w:spacing w:line="240" w:lineRule="auto"/>
              <w:jc w:val="center"/>
              <w:rPr>
                <w:rFonts w:ascii="Arial" w:eastAsia="Times New Roman" w:hAnsi="Arial" w:cs="Arial"/>
                <w:szCs w:val="20"/>
                <w:lang w:eastAsia="en-GB"/>
              </w:rPr>
            </w:pPr>
            <w:r w:rsidRPr="007F3B3C">
              <w:rPr>
                <w:rFonts w:ascii="Arial" w:eastAsia="Times New Roman" w:hAnsi="Arial" w:cs="Arial"/>
                <w:szCs w:val="20"/>
                <w:lang w:eastAsia="en-GB"/>
              </w:rPr>
              <w:t>Low</w:t>
            </w:r>
          </w:p>
        </w:tc>
        <w:tc>
          <w:tcPr>
            <w:tcW w:w="238" w:type="dxa"/>
            <w:hideMark/>
          </w:tcPr>
          <w:p w14:paraId="31353FF1" w14:textId="77777777" w:rsidR="007C09E9" w:rsidRPr="007F3B3C" w:rsidRDefault="007C09E9" w:rsidP="005E2942">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Cs w:val="20"/>
                <w:lang w:eastAsia="en-GB"/>
              </w:rPr>
            </w:pPr>
          </w:p>
        </w:tc>
        <w:tc>
          <w:tcPr>
            <w:tcW w:w="1756" w:type="dxa"/>
            <w:hideMark/>
          </w:tcPr>
          <w:p w14:paraId="62E2C8DB" w14:textId="77777777" w:rsidR="007C09E9" w:rsidRPr="007F3B3C" w:rsidRDefault="007C09E9" w:rsidP="005E2942">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r w:rsidRPr="007F3B3C">
              <w:rPr>
                <w:rFonts w:ascii="Arial" w:eastAsia="Times New Roman" w:hAnsi="Arial" w:cs="Arial"/>
                <w:szCs w:val="20"/>
                <w:lang w:eastAsia="en-GB"/>
              </w:rPr>
              <w:t>8</w:t>
            </w:r>
          </w:p>
        </w:tc>
        <w:tc>
          <w:tcPr>
            <w:tcW w:w="236" w:type="dxa"/>
            <w:hideMark/>
          </w:tcPr>
          <w:p w14:paraId="31405E43" w14:textId="77777777" w:rsidR="007C09E9" w:rsidRPr="007F3B3C" w:rsidRDefault="007C09E9" w:rsidP="005E2942">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p>
        </w:tc>
        <w:tc>
          <w:tcPr>
            <w:tcW w:w="3182" w:type="dxa"/>
            <w:hideMark/>
          </w:tcPr>
          <w:p w14:paraId="0D6D0EFA" w14:textId="77777777" w:rsidR="007C09E9" w:rsidRPr="007F3B3C" w:rsidRDefault="007C09E9" w:rsidP="005E2942">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r w:rsidRPr="007F3B3C">
              <w:rPr>
                <w:rFonts w:ascii="Arial" w:eastAsia="Times New Roman" w:hAnsi="Arial" w:cs="Arial"/>
                <w:szCs w:val="20"/>
                <w:lang w:eastAsia="en-GB"/>
              </w:rPr>
              <w:t>0.19544</w:t>
            </w:r>
          </w:p>
        </w:tc>
        <w:tc>
          <w:tcPr>
            <w:tcW w:w="2311" w:type="dxa"/>
            <w:hideMark/>
          </w:tcPr>
          <w:p w14:paraId="2BE4501C" w14:textId="77777777" w:rsidR="007C09E9" w:rsidRPr="007F3B3C" w:rsidRDefault="007C09E9" w:rsidP="005E2942">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r w:rsidRPr="007F3B3C">
              <w:rPr>
                <w:rFonts w:ascii="Arial" w:eastAsia="Times New Roman" w:hAnsi="Arial" w:cs="Arial"/>
                <w:szCs w:val="20"/>
                <w:lang w:eastAsia="en-GB"/>
              </w:rPr>
              <w:t>3.125</w:t>
            </w:r>
          </w:p>
        </w:tc>
        <w:tc>
          <w:tcPr>
            <w:tcW w:w="236" w:type="dxa"/>
            <w:hideMark/>
          </w:tcPr>
          <w:p w14:paraId="70E1F9FE" w14:textId="77777777" w:rsidR="007C09E9" w:rsidRPr="007F3B3C" w:rsidRDefault="007C09E9" w:rsidP="007C09E9">
            <w:pPr>
              <w:spacing w:line="240"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eastAsia="en-GB"/>
              </w:rPr>
            </w:pPr>
          </w:p>
        </w:tc>
      </w:tr>
    </w:tbl>
    <w:p w14:paraId="5950B009" w14:textId="77777777" w:rsidR="00AB45BC" w:rsidRPr="004675D3" w:rsidRDefault="00AB45BC" w:rsidP="00A45A75">
      <w:pPr>
        <w:pStyle w:val="HeadingforTableofContents"/>
        <w:rPr>
          <w:rFonts w:ascii="Arial" w:hAnsi="Arial" w:cs="Arial"/>
        </w:rPr>
      </w:pPr>
    </w:p>
    <w:p w14:paraId="0EE48607" w14:textId="77777777" w:rsidR="00AB45BC" w:rsidRPr="004675D3" w:rsidRDefault="00AB45BC">
      <w:pPr>
        <w:spacing w:line="259" w:lineRule="auto"/>
        <w:jc w:val="left"/>
        <w:rPr>
          <w:rFonts w:ascii="Arial" w:eastAsiaTheme="majorEastAsia" w:hAnsi="Arial" w:cs="Arial"/>
          <w:color w:val="5B9BD5" w:themeColor="accent1"/>
          <w:sz w:val="32"/>
          <w:szCs w:val="32"/>
        </w:rPr>
      </w:pPr>
      <w:r w:rsidRPr="004675D3">
        <w:rPr>
          <w:rFonts w:ascii="Arial" w:hAnsi="Arial" w:cs="Arial"/>
        </w:rPr>
        <w:br w:type="page"/>
      </w:r>
    </w:p>
    <w:p w14:paraId="4660474F" w14:textId="3A86B178" w:rsidR="00176F55" w:rsidRPr="004675D3" w:rsidRDefault="00A45A75" w:rsidP="00A45A75">
      <w:pPr>
        <w:pStyle w:val="HeadingforTableofContents"/>
        <w:rPr>
          <w:rFonts w:ascii="Arial" w:hAnsi="Arial" w:cs="Arial"/>
        </w:rPr>
      </w:pPr>
      <w:bookmarkStart w:id="26" w:name="_Toc84443083"/>
      <w:r w:rsidRPr="004675D3">
        <w:rPr>
          <w:rFonts w:ascii="Arial" w:hAnsi="Arial" w:cs="Arial"/>
        </w:rPr>
        <w:lastRenderedPageBreak/>
        <w:t>References</w:t>
      </w:r>
      <w:bookmarkEnd w:id="26"/>
    </w:p>
    <w:p w14:paraId="1AA1B5EB" w14:textId="7BA14E19"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rPr>
        <w:fldChar w:fldCharType="begin" w:fldLock="1"/>
      </w:r>
      <w:r w:rsidRPr="004675D3">
        <w:rPr>
          <w:rFonts w:ascii="Arial" w:hAnsi="Arial" w:cs="Arial"/>
        </w:rPr>
        <w:instrText xml:space="preserve">ADDIN Mendeley Bibliography CSL_BIBLIOGRAPHY </w:instrText>
      </w:r>
      <w:r w:rsidRPr="004675D3">
        <w:rPr>
          <w:rFonts w:ascii="Arial" w:hAnsi="Arial" w:cs="Arial"/>
        </w:rPr>
        <w:fldChar w:fldCharType="separate"/>
      </w:r>
      <w:r w:rsidRPr="004675D3">
        <w:rPr>
          <w:rFonts w:ascii="Arial" w:hAnsi="Arial" w:cs="Arial"/>
          <w:noProof/>
          <w:szCs w:val="24"/>
        </w:rPr>
        <w:t>Agora Energiewende and Wuppertal Institut (2019) ‘Climate-Neutral Industry. Key technologies and policy options for steel, chemicals and cement. Executive Summary’.</w:t>
      </w:r>
    </w:p>
    <w:p w14:paraId="48CCB909"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Åhman, M., Nilsson, L. J. and Johansson, B. (2017) ‘Global climate policy and deep decarbonization of energy-intensive industries’, </w:t>
      </w:r>
      <w:r w:rsidRPr="004675D3">
        <w:rPr>
          <w:rFonts w:ascii="Arial" w:hAnsi="Arial" w:cs="Arial"/>
          <w:i/>
          <w:iCs/>
          <w:noProof/>
          <w:szCs w:val="24"/>
        </w:rPr>
        <w:t>Climate Policy</w:t>
      </w:r>
      <w:r w:rsidRPr="004675D3">
        <w:rPr>
          <w:rFonts w:ascii="Arial" w:hAnsi="Arial" w:cs="Arial"/>
          <w:noProof/>
          <w:szCs w:val="24"/>
        </w:rPr>
        <w:t>. Taylor &amp; Francis, 17(5), pp. 634–649. doi: 10.1080/14693062.2016.1167009.</w:t>
      </w:r>
    </w:p>
    <w:p w14:paraId="70E35EBD"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Axsen, J., Plötz, P. and Wolinetz, M. (2020) ‘Crafting strong, integrated policy mixes for deep CO2 mitigation in road transport’, </w:t>
      </w:r>
      <w:r w:rsidRPr="004675D3">
        <w:rPr>
          <w:rFonts w:ascii="Arial" w:hAnsi="Arial" w:cs="Arial"/>
          <w:i/>
          <w:iCs/>
          <w:noProof/>
          <w:szCs w:val="24"/>
        </w:rPr>
        <w:t>Nature Climate Change</w:t>
      </w:r>
      <w:r w:rsidRPr="004675D3">
        <w:rPr>
          <w:rFonts w:ascii="Arial" w:hAnsi="Arial" w:cs="Arial"/>
          <w:noProof/>
          <w:szCs w:val="24"/>
        </w:rPr>
        <w:t>, 10(9), pp. 809–818. doi: 10.1038/s41558-020-0877-y.</w:t>
      </w:r>
    </w:p>
    <w:p w14:paraId="5DB67C02"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BigEE (2016) </w:t>
      </w:r>
      <w:r w:rsidRPr="004675D3">
        <w:rPr>
          <w:rFonts w:ascii="Arial" w:hAnsi="Arial" w:cs="Arial"/>
          <w:i/>
          <w:iCs/>
          <w:noProof/>
          <w:szCs w:val="24"/>
        </w:rPr>
        <w:t>Buildings: Package Elements</w:t>
      </w:r>
      <w:r w:rsidRPr="004675D3">
        <w:rPr>
          <w:rFonts w:ascii="Arial" w:hAnsi="Arial" w:cs="Arial"/>
          <w:noProof/>
          <w:szCs w:val="24"/>
        </w:rPr>
        <w:t>. bigEE initiative, Wuppertal Institute. Available at: http://www.bigee.net/en/policy/guide/buildings/package-elements/ (Accessed: 25 January 2016).</w:t>
      </w:r>
    </w:p>
    <w:p w14:paraId="3CC0429A"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Booth, M. S. (2018) ‘Not carbon neutral: Assessing the net emissions impact of residues burned for bioenergy’, </w:t>
      </w:r>
      <w:r w:rsidRPr="004675D3">
        <w:rPr>
          <w:rFonts w:ascii="Arial" w:hAnsi="Arial" w:cs="Arial"/>
          <w:i/>
          <w:iCs/>
          <w:noProof/>
          <w:szCs w:val="24"/>
        </w:rPr>
        <w:t>Environmental Research Letters</w:t>
      </w:r>
      <w:r w:rsidRPr="004675D3">
        <w:rPr>
          <w:rFonts w:ascii="Arial" w:hAnsi="Arial" w:cs="Arial"/>
          <w:noProof/>
          <w:szCs w:val="24"/>
        </w:rPr>
        <w:t>. {IOP} Publishing, 13(3), p. 35001. doi: 10.1088/1748-9326/aaac88.</w:t>
      </w:r>
    </w:p>
    <w:p w14:paraId="36C7DAAC"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Carley, S. </w:t>
      </w:r>
      <w:r w:rsidRPr="004675D3">
        <w:rPr>
          <w:rFonts w:ascii="Arial" w:hAnsi="Arial" w:cs="Arial"/>
          <w:i/>
          <w:iCs/>
          <w:noProof/>
          <w:szCs w:val="24"/>
        </w:rPr>
        <w:t>et al.</w:t>
      </w:r>
      <w:r w:rsidRPr="004675D3">
        <w:rPr>
          <w:rFonts w:ascii="Arial" w:hAnsi="Arial" w:cs="Arial"/>
          <w:noProof/>
          <w:szCs w:val="24"/>
        </w:rPr>
        <w:t xml:space="preserve"> (2017) ‘Global Expansion of Renewable Energy Generation: An Analysis of Policy Instruments’, </w:t>
      </w:r>
      <w:r w:rsidRPr="004675D3">
        <w:rPr>
          <w:rFonts w:ascii="Arial" w:hAnsi="Arial" w:cs="Arial"/>
          <w:i/>
          <w:iCs/>
          <w:noProof/>
          <w:szCs w:val="24"/>
        </w:rPr>
        <w:t>Environmental and Resource Economics</w:t>
      </w:r>
      <w:r w:rsidRPr="004675D3">
        <w:rPr>
          <w:rFonts w:ascii="Arial" w:hAnsi="Arial" w:cs="Arial"/>
          <w:noProof/>
          <w:szCs w:val="24"/>
        </w:rPr>
        <w:t>. Springer Netherlands, 68(2), pp. 397–440. doi: 10.1007/s10640-016-0025-3.</w:t>
      </w:r>
    </w:p>
    <w:p w14:paraId="2C1CD253"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Climate Action Tracker (2016) </w:t>
      </w:r>
      <w:r w:rsidRPr="004675D3">
        <w:rPr>
          <w:rFonts w:ascii="Arial" w:hAnsi="Arial" w:cs="Arial"/>
          <w:i/>
          <w:iCs/>
          <w:noProof/>
          <w:szCs w:val="24"/>
        </w:rPr>
        <w:t>Constructing the future: Will the building sector use its decarbonisation tools? CAT Decarbonisation Series</w:t>
      </w:r>
      <w:r w:rsidRPr="004675D3">
        <w:rPr>
          <w:rFonts w:ascii="Arial" w:hAnsi="Arial" w:cs="Arial"/>
          <w:noProof/>
          <w:szCs w:val="24"/>
        </w:rPr>
        <w:t>. Available at: https://newclimate.org/2016/11/02/constructing-the-future/.</w:t>
      </w:r>
    </w:p>
    <w:p w14:paraId="68BD8BD2"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Climate Action Tracker (2018) </w:t>
      </w:r>
      <w:r w:rsidRPr="004675D3">
        <w:rPr>
          <w:rFonts w:ascii="Arial" w:hAnsi="Arial" w:cs="Arial"/>
          <w:i/>
          <w:iCs/>
          <w:noProof/>
          <w:szCs w:val="24"/>
        </w:rPr>
        <w:t>A Policy Spotlight on Energy Efficiency in Appliances &amp; Lights Could See Big Climate Gains</w:t>
      </w:r>
      <w:r w:rsidRPr="004675D3">
        <w:rPr>
          <w:rFonts w:ascii="Arial" w:hAnsi="Arial" w:cs="Arial"/>
          <w:noProof/>
          <w:szCs w:val="24"/>
        </w:rPr>
        <w:t>. Available at: https://climateactiontracker.org/documents/70/CAT_2018-03-23_DecarbEnergy_CATAnalysis.pdf.</w:t>
      </w:r>
    </w:p>
    <w:p w14:paraId="4AA9F70B"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Cox, E. and Edwards, N. R. (2019) ‘Beyond carbon pricing: policy levers for negative emissions technologies’, </w:t>
      </w:r>
      <w:r w:rsidRPr="004675D3">
        <w:rPr>
          <w:rFonts w:ascii="Arial" w:hAnsi="Arial" w:cs="Arial"/>
          <w:i/>
          <w:iCs/>
          <w:noProof/>
          <w:szCs w:val="24"/>
        </w:rPr>
        <w:t>Climate Policy</w:t>
      </w:r>
      <w:r w:rsidRPr="004675D3">
        <w:rPr>
          <w:rFonts w:ascii="Arial" w:hAnsi="Arial" w:cs="Arial"/>
          <w:noProof/>
          <w:szCs w:val="24"/>
        </w:rPr>
        <w:t>. Taylor &amp; Francis, 19(9), pp. 1144–1156. doi: 10.1080/14693062.2019.1634509.</w:t>
      </w:r>
    </w:p>
    <w:p w14:paraId="75772F38"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Daioglou, V. </w:t>
      </w:r>
      <w:r w:rsidRPr="004675D3">
        <w:rPr>
          <w:rFonts w:ascii="Arial" w:hAnsi="Arial" w:cs="Arial"/>
          <w:i/>
          <w:iCs/>
          <w:noProof/>
          <w:szCs w:val="24"/>
        </w:rPr>
        <w:t>et al.</w:t>
      </w:r>
      <w:r w:rsidRPr="004675D3">
        <w:rPr>
          <w:rFonts w:ascii="Arial" w:hAnsi="Arial" w:cs="Arial"/>
          <w:noProof/>
          <w:szCs w:val="24"/>
        </w:rPr>
        <w:t xml:space="preserve"> (2017) ‘Greenhouse gas emission curves for advanced biofuel supply chains’, </w:t>
      </w:r>
      <w:r w:rsidRPr="004675D3">
        <w:rPr>
          <w:rFonts w:ascii="Arial" w:hAnsi="Arial" w:cs="Arial"/>
          <w:i/>
          <w:iCs/>
          <w:noProof/>
          <w:szCs w:val="24"/>
        </w:rPr>
        <w:t>Nature Climate Change</w:t>
      </w:r>
      <w:r w:rsidRPr="004675D3">
        <w:rPr>
          <w:rFonts w:ascii="Arial" w:hAnsi="Arial" w:cs="Arial"/>
          <w:noProof/>
          <w:szCs w:val="24"/>
        </w:rPr>
        <w:t>, 7(12), pp. 920–924. doi: 10.1038/s41558-017-0006-8.</w:t>
      </w:r>
    </w:p>
    <w:p w14:paraId="785B6975"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Deetman, S., Hof, A. F. and van Vuuren, D. P. (2015) ‘Deep CO2 emission reductions in a global bottom-up model approach’, </w:t>
      </w:r>
      <w:r w:rsidRPr="004675D3">
        <w:rPr>
          <w:rFonts w:ascii="Arial" w:hAnsi="Arial" w:cs="Arial"/>
          <w:i/>
          <w:iCs/>
          <w:noProof/>
          <w:szCs w:val="24"/>
        </w:rPr>
        <w:t>Climate Policy</w:t>
      </w:r>
      <w:r w:rsidRPr="004675D3">
        <w:rPr>
          <w:rFonts w:ascii="Arial" w:hAnsi="Arial" w:cs="Arial"/>
          <w:noProof/>
          <w:szCs w:val="24"/>
        </w:rPr>
        <w:t>. Taylor &amp; Francis, 15(2), pp. 253–271. doi: 10.1080/14693062.2014.912980.</w:t>
      </w:r>
    </w:p>
    <w:p w14:paraId="65E99FEB"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Dubash, N. K. </w:t>
      </w:r>
      <w:r w:rsidRPr="004675D3">
        <w:rPr>
          <w:rFonts w:ascii="Arial" w:hAnsi="Arial" w:cs="Arial"/>
          <w:i/>
          <w:iCs/>
          <w:noProof/>
          <w:szCs w:val="24"/>
        </w:rPr>
        <w:t>et al.</w:t>
      </w:r>
      <w:r w:rsidRPr="004675D3">
        <w:rPr>
          <w:rFonts w:ascii="Arial" w:hAnsi="Arial" w:cs="Arial"/>
          <w:noProof/>
          <w:szCs w:val="24"/>
        </w:rPr>
        <w:t xml:space="preserve"> (2013) </w:t>
      </w:r>
      <w:r w:rsidRPr="004675D3">
        <w:rPr>
          <w:rFonts w:ascii="Arial" w:hAnsi="Arial" w:cs="Arial"/>
          <w:i/>
          <w:iCs/>
          <w:noProof/>
          <w:szCs w:val="24"/>
        </w:rPr>
        <w:t>Developments in national climate change mitigation legislation and strategy</w:t>
      </w:r>
      <w:r w:rsidRPr="004675D3">
        <w:rPr>
          <w:rFonts w:ascii="Arial" w:hAnsi="Arial" w:cs="Arial"/>
          <w:noProof/>
          <w:szCs w:val="24"/>
        </w:rPr>
        <w:t xml:space="preserve">, </w:t>
      </w:r>
      <w:r w:rsidRPr="004675D3">
        <w:rPr>
          <w:rFonts w:ascii="Arial" w:hAnsi="Arial" w:cs="Arial"/>
          <w:i/>
          <w:iCs/>
          <w:noProof/>
          <w:szCs w:val="24"/>
        </w:rPr>
        <w:t>Climate Policy</w:t>
      </w:r>
      <w:r w:rsidRPr="004675D3">
        <w:rPr>
          <w:rFonts w:ascii="Arial" w:hAnsi="Arial" w:cs="Arial"/>
          <w:noProof/>
          <w:szCs w:val="24"/>
        </w:rPr>
        <w:t>. doi: 10.1080/14693062.2013.845409.</w:t>
      </w:r>
    </w:p>
    <w:p w14:paraId="4EA8E24C"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Dulal, H. B., Brodnig, G. and Onoriose, C. G. (2011) ‘Climate change mitigation in the transport sector through urban planning: A review’, </w:t>
      </w:r>
      <w:r w:rsidRPr="004675D3">
        <w:rPr>
          <w:rFonts w:ascii="Arial" w:hAnsi="Arial" w:cs="Arial"/>
          <w:i/>
          <w:iCs/>
          <w:noProof/>
          <w:szCs w:val="24"/>
        </w:rPr>
        <w:t>Habitat International</w:t>
      </w:r>
      <w:r w:rsidRPr="004675D3">
        <w:rPr>
          <w:rFonts w:ascii="Arial" w:hAnsi="Arial" w:cs="Arial"/>
          <w:noProof/>
          <w:szCs w:val="24"/>
        </w:rPr>
        <w:t>, 35(3), pp. 494–500. doi: https://doi.org/10.1016/j.habitatint.2011.02.001.</w:t>
      </w:r>
    </w:p>
    <w:p w14:paraId="3FFE54FA"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Erickson, P., Lazarus, M. and Piggot, G. (2018) ‘Limiting fossil fuel production as the next big step in climate policy’, </w:t>
      </w:r>
      <w:r w:rsidRPr="004675D3">
        <w:rPr>
          <w:rFonts w:ascii="Arial" w:hAnsi="Arial" w:cs="Arial"/>
          <w:i/>
          <w:iCs/>
          <w:noProof/>
          <w:szCs w:val="24"/>
        </w:rPr>
        <w:t>Nature Climate Change</w:t>
      </w:r>
      <w:r w:rsidRPr="004675D3">
        <w:rPr>
          <w:rFonts w:ascii="Arial" w:hAnsi="Arial" w:cs="Arial"/>
          <w:noProof/>
          <w:szCs w:val="24"/>
        </w:rPr>
        <w:t>, 8(12), pp. 1037–1043. doi: 10.1038/s41558-018-0337-0.</w:t>
      </w:r>
    </w:p>
    <w:p w14:paraId="1B0ECCB8"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Fischedick, M. </w:t>
      </w:r>
      <w:r w:rsidRPr="004675D3">
        <w:rPr>
          <w:rFonts w:ascii="Arial" w:hAnsi="Arial" w:cs="Arial"/>
          <w:i/>
          <w:iCs/>
          <w:noProof/>
          <w:szCs w:val="24"/>
        </w:rPr>
        <w:t>et al.</w:t>
      </w:r>
      <w:r w:rsidRPr="004675D3">
        <w:rPr>
          <w:rFonts w:ascii="Arial" w:hAnsi="Arial" w:cs="Arial"/>
          <w:noProof/>
          <w:szCs w:val="24"/>
        </w:rPr>
        <w:t xml:space="preserve"> (2014) </w:t>
      </w:r>
      <w:r w:rsidRPr="004675D3">
        <w:rPr>
          <w:rFonts w:ascii="Arial" w:hAnsi="Arial" w:cs="Arial"/>
          <w:i/>
          <w:iCs/>
          <w:noProof/>
          <w:szCs w:val="24"/>
        </w:rPr>
        <w:t>Industry</w:t>
      </w:r>
      <w:r w:rsidRPr="004675D3">
        <w:rPr>
          <w:rFonts w:ascii="Arial" w:hAnsi="Arial" w:cs="Arial"/>
          <w:noProof/>
          <w:szCs w:val="24"/>
        </w:rPr>
        <w:t xml:space="preserve">, </w:t>
      </w:r>
      <w:r w:rsidRPr="004675D3">
        <w:rPr>
          <w:rFonts w:ascii="Arial" w:hAnsi="Arial" w:cs="Arial"/>
          <w:i/>
          <w:iCs/>
          <w:noProof/>
          <w:szCs w:val="24"/>
        </w:rPr>
        <w:t>Climate Change 2014: Mitigation of Climate Change. Contribution of Working Group III to the Fifth Assessment Report of the Intergovernmental Panel on Climate Change</w:t>
      </w:r>
      <w:r w:rsidRPr="004675D3">
        <w:rPr>
          <w:rFonts w:ascii="Arial" w:hAnsi="Arial" w:cs="Arial"/>
          <w:noProof/>
          <w:szCs w:val="24"/>
        </w:rPr>
        <w:t>. Edited by O. Edenhofer et al. Cambridge, UK and New York, NY, USA: Cambridge University Press.</w:t>
      </w:r>
    </w:p>
    <w:p w14:paraId="21D076C7"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Frank, S. </w:t>
      </w:r>
      <w:r w:rsidRPr="004675D3">
        <w:rPr>
          <w:rFonts w:ascii="Arial" w:hAnsi="Arial" w:cs="Arial"/>
          <w:i/>
          <w:iCs/>
          <w:noProof/>
          <w:szCs w:val="24"/>
        </w:rPr>
        <w:t>et al.</w:t>
      </w:r>
      <w:r w:rsidRPr="004675D3">
        <w:rPr>
          <w:rFonts w:ascii="Arial" w:hAnsi="Arial" w:cs="Arial"/>
          <w:noProof/>
          <w:szCs w:val="24"/>
        </w:rPr>
        <w:t xml:space="preserve"> (2018) ‘Structural change as a key component for agricultural non-CO2 mitigation efforts’, </w:t>
      </w:r>
      <w:r w:rsidRPr="004675D3">
        <w:rPr>
          <w:rFonts w:ascii="Arial" w:hAnsi="Arial" w:cs="Arial"/>
          <w:i/>
          <w:iCs/>
          <w:noProof/>
          <w:szCs w:val="24"/>
        </w:rPr>
        <w:t>Nature Communications</w:t>
      </w:r>
      <w:r w:rsidRPr="004675D3">
        <w:rPr>
          <w:rFonts w:ascii="Arial" w:hAnsi="Arial" w:cs="Arial"/>
          <w:noProof/>
          <w:szCs w:val="24"/>
        </w:rPr>
        <w:t>, 9(1), p. 1060. doi: 10.1038/s41467-018-03489-1.</w:t>
      </w:r>
    </w:p>
    <w:p w14:paraId="55697227"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Frank, S. </w:t>
      </w:r>
      <w:r w:rsidRPr="004675D3">
        <w:rPr>
          <w:rFonts w:ascii="Arial" w:hAnsi="Arial" w:cs="Arial"/>
          <w:i/>
          <w:iCs/>
          <w:noProof/>
          <w:szCs w:val="24"/>
        </w:rPr>
        <w:t>et al.</w:t>
      </w:r>
      <w:r w:rsidRPr="004675D3">
        <w:rPr>
          <w:rFonts w:ascii="Arial" w:hAnsi="Arial" w:cs="Arial"/>
          <w:noProof/>
          <w:szCs w:val="24"/>
        </w:rPr>
        <w:t xml:space="preserve"> (2019) ‘Agricultural non-CO2 emission reduction potential in the context of the 1.5 °C target’, </w:t>
      </w:r>
      <w:r w:rsidRPr="004675D3">
        <w:rPr>
          <w:rFonts w:ascii="Arial" w:hAnsi="Arial" w:cs="Arial"/>
          <w:i/>
          <w:iCs/>
          <w:noProof/>
          <w:szCs w:val="24"/>
        </w:rPr>
        <w:t>Nature Climate Change</w:t>
      </w:r>
      <w:r w:rsidRPr="004675D3">
        <w:rPr>
          <w:rFonts w:ascii="Arial" w:hAnsi="Arial" w:cs="Arial"/>
          <w:noProof/>
          <w:szCs w:val="24"/>
        </w:rPr>
        <w:t>, 9(1), pp. 66–72. doi: 10.1038/s41558-018-0358-8.</w:t>
      </w:r>
    </w:p>
    <w:p w14:paraId="494D3568"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Grubler, A. </w:t>
      </w:r>
      <w:r w:rsidRPr="004675D3">
        <w:rPr>
          <w:rFonts w:ascii="Arial" w:hAnsi="Arial" w:cs="Arial"/>
          <w:i/>
          <w:iCs/>
          <w:noProof/>
          <w:szCs w:val="24"/>
        </w:rPr>
        <w:t>et al.</w:t>
      </w:r>
      <w:r w:rsidRPr="004675D3">
        <w:rPr>
          <w:rFonts w:ascii="Arial" w:hAnsi="Arial" w:cs="Arial"/>
          <w:noProof/>
          <w:szCs w:val="24"/>
        </w:rPr>
        <w:t xml:space="preserve"> (2018) ‘A low energy demand scenario for meeting the 1.5°C target and sustainable </w:t>
      </w:r>
      <w:r w:rsidRPr="004675D3">
        <w:rPr>
          <w:rFonts w:ascii="Arial" w:hAnsi="Arial" w:cs="Arial"/>
          <w:noProof/>
          <w:szCs w:val="24"/>
        </w:rPr>
        <w:lastRenderedPageBreak/>
        <w:t xml:space="preserve">development goals without negative emission technologies’, </w:t>
      </w:r>
      <w:r w:rsidRPr="004675D3">
        <w:rPr>
          <w:rFonts w:ascii="Arial" w:hAnsi="Arial" w:cs="Arial"/>
          <w:i/>
          <w:iCs/>
          <w:noProof/>
          <w:szCs w:val="24"/>
        </w:rPr>
        <w:t>Nature Energy</w:t>
      </w:r>
      <w:r w:rsidRPr="004675D3">
        <w:rPr>
          <w:rFonts w:ascii="Arial" w:hAnsi="Arial" w:cs="Arial"/>
          <w:noProof/>
          <w:szCs w:val="24"/>
        </w:rPr>
        <w:t>. Springer US, 3(June), pp. 515–527. doi: 10.1038/s41560-018-0172-6.</w:t>
      </w:r>
    </w:p>
    <w:p w14:paraId="3206BE8F"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Herrero, M. </w:t>
      </w:r>
      <w:r w:rsidRPr="004675D3">
        <w:rPr>
          <w:rFonts w:ascii="Arial" w:hAnsi="Arial" w:cs="Arial"/>
          <w:i/>
          <w:iCs/>
          <w:noProof/>
          <w:szCs w:val="24"/>
        </w:rPr>
        <w:t>et al.</w:t>
      </w:r>
      <w:r w:rsidRPr="004675D3">
        <w:rPr>
          <w:rFonts w:ascii="Arial" w:hAnsi="Arial" w:cs="Arial"/>
          <w:noProof/>
          <w:szCs w:val="24"/>
        </w:rPr>
        <w:t xml:space="preserve"> (2016) ‘Greenhouse gas mitigation potentials in the livestock sector’, </w:t>
      </w:r>
      <w:r w:rsidRPr="004675D3">
        <w:rPr>
          <w:rFonts w:ascii="Arial" w:hAnsi="Arial" w:cs="Arial"/>
          <w:i/>
          <w:iCs/>
          <w:noProof/>
          <w:szCs w:val="24"/>
        </w:rPr>
        <w:t>Nature Climate Change</w:t>
      </w:r>
      <w:r w:rsidRPr="004675D3">
        <w:rPr>
          <w:rFonts w:ascii="Arial" w:hAnsi="Arial" w:cs="Arial"/>
          <w:noProof/>
          <w:szCs w:val="24"/>
        </w:rPr>
        <w:t>, 6(March), pp. 452–461. doi: 10.1038/nclimate2925.</w:t>
      </w:r>
    </w:p>
    <w:p w14:paraId="47C93D61"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Iacobuta, G. </w:t>
      </w:r>
      <w:r w:rsidRPr="004675D3">
        <w:rPr>
          <w:rFonts w:ascii="Arial" w:hAnsi="Arial" w:cs="Arial"/>
          <w:i/>
          <w:iCs/>
          <w:noProof/>
          <w:szCs w:val="24"/>
        </w:rPr>
        <w:t>et al.</w:t>
      </w:r>
      <w:r w:rsidRPr="004675D3">
        <w:rPr>
          <w:rFonts w:ascii="Arial" w:hAnsi="Arial" w:cs="Arial"/>
          <w:noProof/>
          <w:szCs w:val="24"/>
        </w:rPr>
        <w:t xml:space="preserve"> (2018) ‘National climate change mitigation legislation, strategy and targets: a global update’, </w:t>
      </w:r>
      <w:r w:rsidRPr="004675D3">
        <w:rPr>
          <w:rFonts w:ascii="Arial" w:hAnsi="Arial" w:cs="Arial"/>
          <w:i/>
          <w:iCs/>
          <w:noProof/>
          <w:szCs w:val="24"/>
        </w:rPr>
        <w:t>Climate Policy</w:t>
      </w:r>
      <w:r w:rsidRPr="004675D3">
        <w:rPr>
          <w:rFonts w:ascii="Arial" w:hAnsi="Arial" w:cs="Arial"/>
          <w:noProof/>
          <w:szCs w:val="24"/>
        </w:rPr>
        <w:t>. Taylor &amp; Francis, 18(9), pp. 1114–1132. doi: 10.1080/14693062.2018.1489772.</w:t>
      </w:r>
    </w:p>
    <w:p w14:paraId="0E448C61"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IEA/IRENA (2017) </w:t>
      </w:r>
      <w:r w:rsidRPr="004675D3">
        <w:rPr>
          <w:rFonts w:ascii="Arial" w:hAnsi="Arial" w:cs="Arial"/>
          <w:i/>
          <w:iCs/>
          <w:noProof/>
          <w:szCs w:val="24"/>
        </w:rPr>
        <w:t>Perspectives for the Energy Transition - Investment Needs for a Low-Carbon Energy System</w:t>
      </w:r>
      <w:r w:rsidRPr="004675D3">
        <w:rPr>
          <w:rFonts w:ascii="Arial" w:hAnsi="Arial" w:cs="Arial"/>
          <w:noProof/>
          <w:szCs w:val="24"/>
        </w:rPr>
        <w:t>. Available at: https://www.energiewende2017.com/wp-content/uploads/2017/03/Perspectives-for-the-Energy-Transition_WEB.pdf.</w:t>
      </w:r>
    </w:p>
    <w:p w14:paraId="76CA2C6B"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IEA (2015) </w:t>
      </w:r>
      <w:r w:rsidRPr="004675D3">
        <w:rPr>
          <w:rFonts w:ascii="Arial" w:hAnsi="Arial" w:cs="Arial"/>
          <w:i/>
          <w:iCs/>
          <w:noProof/>
          <w:szCs w:val="24"/>
        </w:rPr>
        <w:t>Energy and climate change. World Energy Outlook Special Report.</w:t>
      </w:r>
      <w:r w:rsidRPr="004675D3">
        <w:rPr>
          <w:rFonts w:ascii="Arial" w:hAnsi="Arial" w:cs="Arial"/>
          <w:noProof/>
          <w:szCs w:val="24"/>
        </w:rPr>
        <w:t xml:space="preserve"> Paris, France: International Energy Agency. Available at: https://www.iea.org/publications/freepublications/publication/WEO2015SpecialReportonEnergyandClimateChange.pdf (Accessed: 8 September 2015).</w:t>
      </w:r>
    </w:p>
    <w:p w14:paraId="4516F424"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IEA (2017) </w:t>
      </w:r>
      <w:r w:rsidRPr="004675D3">
        <w:rPr>
          <w:rFonts w:ascii="Arial" w:hAnsi="Arial" w:cs="Arial"/>
          <w:i/>
          <w:iCs/>
          <w:noProof/>
          <w:szCs w:val="24"/>
        </w:rPr>
        <w:t>Energy Technology Perspectives 2017. Catalysing Energy Technology Transformations</w:t>
      </w:r>
      <w:r w:rsidRPr="004675D3">
        <w:rPr>
          <w:rFonts w:ascii="Arial" w:hAnsi="Arial" w:cs="Arial"/>
          <w:noProof/>
          <w:szCs w:val="24"/>
        </w:rPr>
        <w:t>. Paris, France: International Energy Agency. Available at: http://www.iea.org/etp2017/.</w:t>
      </w:r>
    </w:p>
    <w:p w14:paraId="1CA0D8E1"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IEA (2019) </w:t>
      </w:r>
      <w:r w:rsidRPr="004675D3">
        <w:rPr>
          <w:rFonts w:ascii="Arial" w:hAnsi="Arial" w:cs="Arial"/>
          <w:i/>
          <w:iCs/>
          <w:noProof/>
          <w:szCs w:val="24"/>
        </w:rPr>
        <w:t>World Energy Outlook</w:t>
      </w:r>
      <w:r w:rsidRPr="004675D3">
        <w:rPr>
          <w:rFonts w:ascii="Arial" w:hAnsi="Arial" w:cs="Arial"/>
          <w:noProof/>
          <w:szCs w:val="24"/>
        </w:rPr>
        <w:t>. Paris, France: International Energy Agency (IEA). doi: 10.1049/ep.1977.0180.</w:t>
      </w:r>
    </w:p>
    <w:p w14:paraId="61ACF45F"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IEA (2020) </w:t>
      </w:r>
      <w:r w:rsidRPr="004675D3">
        <w:rPr>
          <w:rFonts w:ascii="Arial" w:hAnsi="Arial" w:cs="Arial"/>
          <w:i/>
          <w:iCs/>
          <w:noProof/>
          <w:szCs w:val="24"/>
        </w:rPr>
        <w:t>Tracking Industry 2020</w:t>
      </w:r>
      <w:r w:rsidRPr="004675D3">
        <w:rPr>
          <w:rFonts w:ascii="Arial" w:hAnsi="Arial" w:cs="Arial"/>
          <w:noProof/>
          <w:szCs w:val="24"/>
        </w:rPr>
        <w:t>. Paris. Available at: https://www.iea.org/reports/tracking-industry-2020.</w:t>
      </w:r>
    </w:p>
    <w:p w14:paraId="4327C909"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IPCC (2014) </w:t>
      </w:r>
      <w:r w:rsidRPr="004675D3">
        <w:rPr>
          <w:rFonts w:ascii="Arial" w:hAnsi="Arial" w:cs="Arial"/>
          <w:i/>
          <w:iCs/>
          <w:noProof/>
          <w:szCs w:val="24"/>
        </w:rPr>
        <w:t>Summary for Policymakers</w:t>
      </w:r>
      <w:r w:rsidRPr="004675D3">
        <w:rPr>
          <w:rFonts w:ascii="Arial" w:hAnsi="Arial" w:cs="Arial"/>
          <w:noProof/>
          <w:szCs w:val="24"/>
        </w:rPr>
        <w:t xml:space="preserve">, </w:t>
      </w:r>
      <w:r w:rsidRPr="004675D3">
        <w:rPr>
          <w:rFonts w:ascii="Arial" w:hAnsi="Arial" w:cs="Arial"/>
          <w:i/>
          <w:iCs/>
          <w:noProof/>
          <w:szCs w:val="24"/>
        </w:rPr>
        <w:t>Climate Change 2014: Mitigation of Climate Change. Contribution of Working Group III to the Fifth Assessment Report of the Intergovernmental Panel on Climate Change</w:t>
      </w:r>
      <w:r w:rsidRPr="004675D3">
        <w:rPr>
          <w:rFonts w:ascii="Arial" w:hAnsi="Arial" w:cs="Arial"/>
          <w:noProof/>
          <w:szCs w:val="24"/>
        </w:rPr>
        <w:t>. Edited by O. Edenhofer et al. Cambridge, UK and New York, NY: Cambridge University Press. Available at: http://report.mitigation2014.org/spm/ipcc_wg3_ar5_summary-for-policymakers_approved.pdf.</w:t>
      </w:r>
    </w:p>
    <w:p w14:paraId="68584704"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IPCC (2018) </w:t>
      </w:r>
      <w:r w:rsidRPr="004675D3">
        <w:rPr>
          <w:rFonts w:ascii="Arial" w:hAnsi="Arial" w:cs="Arial"/>
          <w:i/>
          <w:iCs/>
          <w:noProof/>
          <w:szCs w:val="24"/>
        </w:rPr>
        <w:t>Global Warming of 1.5°C. An IPCC Special Report on the impacts of global warming of 1.5°C above pre-industrial levels and related global greenhouse gas emission pathways, in the context of strengthening the global response to the threat of climate change,</w:t>
      </w:r>
      <w:r w:rsidRPr="004675D3">
        <w:rPr>
          <w:rFonts w:ascii="Arial" w:hAnsi="Arial" w:cs="Arial"/>
          <w:noProof/>
          <w:szCs w:val="24"/>
        </w:rPr>
        <w:t>. Intergovernmental Panel on Climate Change.</w:t>
      </w:r>
    </w:p>
    <w:p w14:paraId="1DA9621C"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IRENA (2015) </w:t>
      </w:r>
      <w:r w:rsidRPr="004675D3">
        <w:rPr>
          <w:rFonts w:ascii="Arial" w:hAnsi="Arial" w:cs="Arial"/>
          <w:i/>
          <w:iCs/>
          <w:noProof/>
          <w:szCs w:val="24"/>
        </w:rPr>
        <w:t>Renewable Energy Target Setting</w:t>
      </w:r>
      <w:r w:rsidRPr="004675D3">
        <w:rPr>
          <w:rFonts w:ascii="Arial" w:hAnsi="Arial" w:cs="Arial"/>
          <w:noProof/>
          <w:szCs w:val="24"/>
        </w:rPr>
        <w:t>. Abu Dhabi, United Arab Emirates: International Renewable Energy Agency.</w:t>
      </w:r>
    </w:p>
    <w:p w14:paraId="0625971B"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IRENA (2016) </w:t>
      </w:r>
      <w:r w:rsidRPr="004675D3">
        <w:rPr>
          <w:rFonts w:ascii="Arial" w:hAnsi="Arial" w:cs="Arial"/>
          <w:i/>
          <w:iCs/>
          <w:noProof/>
          <w:szCs w:val="24"/>
        </w:rPr>
        <w:t>Scaling Up Variable Renewable Power: The Role of Grid Codes</w:t>
      </w:r>
      <w:r w:rsidRPr="004675D3">
        <w:rPr>
          <w:rFonts w:ascii="Arial" w:hAnsi="Arial" w:cs="Arial"/>
          <w:noProof/>
          <w:szCs w:val="24"/>
        </w:rPr>
        <w:t>. Available at: http://www.irena.org/publications/2016/May/Scaling-up-Variable-Renewable-Power-The-Role-of-Grid-Codes.</w:t>
      </w:r>
    </w:p>
    <w:p w14:paraId="6B228C7F"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IRENA, IEA and REN21 (2018) </w:t>
      </w:r>
      <w:r w:rsidRPr="004675D3">
        <w:rPr>
          <w:rFonts w:ascii="Arial" w:hAnsi="Arial" w:cs="Arial"/>
          <w:i/>
          <w:iCs/>
          <w:noProof/>
          <w:szCs w:val="24"/>
        </w:rPr>
        <w:t>Renewable Energy Policies in a Time of Transition</w:t>
      </w:r>
      <w:r w:rsidRPr="004675D3">
        <w:rPr>
          <w:rFonts w:ascii="Arial" w:hAnsi="Arial" w:cs="Arial"/>
          <w:noProof/>
          <w:szCs w:val="24"/>
        </w:rPr>
        <w:t>. Available at: http://www.irena.org/-/media/Files/IRENA/Agency/Publication/2018/Apr/IRENA_IEA_REN21_Policies_2018.pdf [accessed on 23 July 2018].</w:t>
      </w:r>
    </w:p>
    <w:p w14:paraId="2774CBFD"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Jakob, M. </w:t>
      </w:r>
      <w:r w:rsidRPr="004675D3">
        <w:rPr>
          <w:rFonts w:ascii="Arial" w:hAnsi="Arial" w:cs="Arial"/>
          <w:i/>
          <w:iCs/>
          <w:noProof/>
          <w:szCs w:val="24"/>
        </w:rPr>
        <w:t>et al.</w:t>
      </w:r>
      <w:r w:rsidRPr="004675D3">
        <w:rPr>
          <w:rFonts w:ascii="Arial" w:hAnsi="Arial" w:cs="Arial"/>
          <w:noProof/>
          <w:szCs w:val="24"/>
        </w:rPr>
        <w:t xml:space="preserve"> (2015) ‘Development incentives for fossil fuel subsidy reform’, </w:t>
      </w:r>
      <w:r w:rsidRPr="004675D3">
        <w:rPr>
          <w:rFonts w:ascii="Arial" w:hAnsi="Arial" w:cs="Arial"/>
          <w:i/>
          <w:iCs/>
          <w:noProof/>
          <w:szCs w:val="24"/>
        </w:rPr>
        <w:t>Nature Climate Change</w:t>
      </w:r>
      <w:r w:rsidRPr="004675D3">
        <w:rPr>
          <w:rFonts w:ascii="Arial" w:hAnsi="Arial" w:cs="Arial"/>
          <w:noProof/>
          <w:szCs w:val="24"/>
        </w:rPr>
        <w:t>, 5(8), pp. 709–712. doi: 10.1038/nclimate2679.</w:t>
      </w:r>
    </w:p>
    <w:p w14:paraId="46C27975"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Jakob, M. </w:t>
      </w:r>
      <w:r w:rsidRPr="004675D3">
        <w:rPr>
          <w:rFonts w:ascii="Arial" w:hAnsi="Arial" w:cs="Arial"/>
          <w:i/>
          <w:iCs/>
          <w:noProof/>
          <w:szCs w:val="24"/>
        </w:rPr>
        <w:t>et al.</w:t>
      </w:r>
      <w:r w:rsidRPr="004675D3">
        <w:rPr>
          <w:rFonts w:ascii="Arial" w:hAnsi="Arial" w:cs="Arial"/>
          <w:noProof/>
          <w:szCs w:val="24"/>
        </w:rPr>
        <w:t xml:space="preserve"> (2020) ‘The future of coal in a carbon-constrained climate’, </w:t>
      </w:r>
      <w:r w:rsidRPr="004675D3">
        <w:rPr>
          <w:rFonts w:ascii="Arial" w:hAnsi="Arial" w:cs="Arial"/>
          <w:i/>
          <w:iCs/>
          <w:noProof/>
          <w:szCs w:val="24"/>
        </w:rPr>
        <w:t>Nature Climate Change</w:t>
      </w:r>
      <w:r w:rsidRPr="004675D3">
        <w:rPr>
          <w:rFonts w:ascii="Arial" w:hAnsi="Arial" w:cs="Arial"/>
          <w:noProof/>
          <w:szCs w:val="24"/>
        </w:rPr>
        <w:t>, 10(8), pp. 704–707. doi: 10.1038/s41558-020-0866-1.</w:t>
      </w:r>
    </w:p>
    <w:p w14:paraId="2DBA6176"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Johnson, E. (2009) ‘Goodbye to carbon neutral: Getting biomass footprints right’, </w:t>
      </w:r>
      <w:r w:rsidRPr="004675D3">
        <w:rPr>
          <w:rFonts w:ascii="Arial" w:hAnsi="Arial" w:cs="Arial"/>
          <w:i/>
          <w:iCs/>
          <w:noProof/>
          <w:szCs w:val="24"/>
        </w:rPr>
        <w:t>Environmental Impact Assessment Review</w:t>
      </w:r>
      <w:r w:rsidRPr="004675D3">
        <w:rPr>
          <w:rFonts w:ascii="Arial" w:hAnsi="Arial" w:cs="Arial"/>
          <w:noProof/>
          <w:szCs w:val="24"/>
        </w:rPr>
        <w:t>. Elsevier, 29(3), pp. 165–168. doi: 10.1016/J.EIAR.2008.11.002.</w:t>
      </w:r>
    </w:p>
    <w:p w14:paraId="6239AB2E"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Knobloch, F. </w:t>
      </w:r>
      <w:r w:rsidRPr="004675D3">
        <w:rPr>
          <w:rFonts w:ascii="Arial" w:hAnsi="Arial" w:cs="Arial"/>
          <w:i/>
          <w:iCs/>
          <w:noProof/>
          <w:szCs w:val="24"/>
        </w:rPr>
        <w:t>et al.</w:t>
      </w:r>
      <w:r w:rsidRPr="004675D3">
        <w:rPr>
          <w:rFonts w:ascii="Arial" w:hAnsi="Arial" w:cs="Arial"/>
          <w:noProof/>
          <w:szCs w:val="24"/>
        </w:rPr>
        <w:t xml:space="preserve"> (2020) ‘Net emission reductions from electric cars and heat pumps in 59 world regions over time’, </w:t>
      </w:r>
      <w:r w:rsidRPr="004675D3">
        <w:rPr>
          <w:rFonts w:ascii="Arial" w:hAnsi="Arial" w:cs="Arial"/>
          <w:i/>
          <w:iCs/>
          <w:noProof/>
          <w:szCs w:val="24"/>
        </w:rPr>
        <w:t>Nature Sustainability</w:t>
      </w:r>
      <w:r w:rsidRPr="004675D3">
        <w:rPr>
          <w:rFonts w:ascii="Arial" w:hAnsi="Arial" w:cs="Arial"/>
          <w:noProof/>
          <w:szCs w:val="24"/>
        </w:rPr>
        <w:t>, 3(6), pp. 437–447. doi: 10.1038/s41893-020-0488-7.</w:t>
      </w:r>
    </w:p>
    <w:p w14:paraId="5968F035"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Kriegler, E. </w:t>
      </w:r>
      <w:r w:rsidRPr="004675D3">
        <w:rPr>
          <w:rFonts w:ascii="Arial" w:hAnsi="Arial" w:cs="Arial"/>
          <w:i/>
          <w:iCs/>
          <w:noProof/>
          <w:szCs w:val="24"/>
        </w:rPr>
        <w:t>et al.</w:t>
      </w:r>
      <w:r w:rsidRPr="004675D3">
        <w:rPr>
          <w:rFonts w:ascii="Arial" w:hAnsi="Arial" w:cs="Arial"/>
          <w:noProof/>
          <w:szCs w:val="24"/>
        </w:rPr>
        <w:t xml:space="preserve"> (2018) ‘Short term policies to keep the door open for Paris climate goals’, </w:t>
      </w:r>
      <w:r w:rsidRPr="004675D3">
        <w:rPr>
          <w:rFonts w:ascii="Arial" w:hAnsi="Arial" w:cs="Arial"/>
          <w:i/>
          <w:iCs/>
          <w:noProof/>
          <w:szCs w:val="24"/>
        </w:rPr>
        <w:t>Environmental Research Letters</w:t>
      </w:r>
      <w:r w:rsidRPr="004675D3">
        <w:rPr>
          <w:rFonts w:ascii="Arial" w:hAnsi="Arial" w:cs="Arial"/>
          <w:noProof/>
          <w:szCs w:val="24"/>
        </w:rPr>
        <w:t>, 13(7). doi: https://doi.org/10.1088/1748-9326/aac4f1.</w:t>
      </w:r>
    </w:p>
    <w:p w14:paraId="29D3FBB2"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lastRenderedPageBreak/>
        <w:t xml:space="preserve">Kuramochi, T. </w:t>
      </w:r>
      <w:r w:rsidRPr="004675D3">
        <w:rPr>
          <w:rFonts w:ascii="Arial" w:hAnsi="Arial" w:cs="Arial"/>
          <w:i/>
          <w:iCs/>
          <w:noProof/>
          <w:szCs w:val="24"/>
        </w:rPr>
        <w:t>et al.</w:t>
      </w:r>
      <w:r w:rsidRPr="004675D3">
        <w:rPr>
          <w:rFonts w:ascii="Arial" w:hAnsi="Arial" w:cs="Arial"/>
          <w:noProof/>
          <w:szCs w:val="24"/>
        </w:rPr>
        <w:t xml:space="preserve"> (2018) ‘Ten key short-term sectoral benchmarks to limit warming to 1.5°C’, </w:t>
      </w:r>
      <w:r w:rsidRPr="004675D3">
        <w:rPr>
          <w:rFonts w:ascii="Arial" w:hAnsi="Arial" w:cs="Arial"/>
          <w:i/>
          <w:iCs/>
          <w:noProof/>
          <w:szCs w:val="24"/>
        </w:rPr>
        <w:t>Climate Policy</w:t>
      </w:r>
      <w:r w:rsidRPr="004675D3">
        <w:rPr>
          <w:rFonts w:ascii="Arial" w:hAnsi="Arial" w:cs="Arial"/>
          <w:noProof/>
          <w:szCs w:val="24"/>
        </w:rPr>
        <w:t>, 18(3), pp. 287–305. doi: 10.1080/14693062.2017.1397495.</w:t>
      </w:r>
    </w:p>
    <w:p w14:paraId="446B985B"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Luderer, G. </w:t>
      </w:r>
      <w:r w:rsidRPr="004675D3">
        <w:rPr>
          <w:rFonts w:ascii="Arial" w:hAnsi="Arial" w:cs="Arial"/>
          <w:i/>
          <w:iCs/>
          <w:noProof/>
          <w:szCs w:val="24"/>
        </w:rPr>
        <w:t>et al.</w:t>
      </w:r>
      <w:r w:rsidRPr="004675D3">
        <w:rPr>
          <w:rFonts w:ascii="Arial" w:hAnsi="Arial" w:cs="Arial"/>
          <w:noProof/>
          <w:szCs w:val="24"/>
        </w:rPr>
        <w:t xml:space="preserve"> (2018) ‘Residual fossil CO2 emissions in 1.5–2 °C pathways’, </w:t>
      </w:r>
      <w:r w:rsidRPr="004675D3">
        <w:rPr>
          <w:rFonts w:ascii="Arial" w:hAnsi="Arial" w:cs="Arial"/>
          <w:i/>
          <w:iCs/>
          <w:noProof/>
          <w:szCs w:val="24"/>
        </w:rPr>
        <w:t>Nature Climate Change</w:t>
      </w:r>
      <w:r w:rsidRPr="004675D3">
        <w:rPr>
          <w:rFonts w:ascii="Arial" w:hAnsi="Arial" w:cs="Arial"/>
          <w:noProof/>
          <w:szCs w:val="24"/>
        </w:rPr>
        <w:t>, 8(7), pp. 626–633. doi: 10.1038/s41558-018-0198-6.</w:t>
      </w:r>
    </w:p>
    <w:p w14:paraId="6EC0B9D7"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736F53">
        <w:rPr>
          <w:rFonts w:ascii="Arial" w:hAnsi="Arial" w:cs="Arial"/>
          <w:szCs w:val="24"/>
          <w:lang w:val="de-DE"/>
        </w:rPr>
        <w:t xml:space="preserve">Lund, P. D. </w:t>
      </w:r>
      <w:r w:rsidRPr="00736F53">
        <w:rPr>
          <w:rFonts w:ascii="Arial" w:hAnsi="Arial" w:cs="Arial"/>
          <w:i/>
          <w:szCs w:val="24"/>
          <w:lang w:val="de-DE"/>
        </w:rPr>
        <w:t>et al.</w:t>
      </w:r>
      <w:r w:rsidRPr="00736F53">
        <w:rPr>
          <w:rFonts w:ascii="Arial" w:hAnsi="Arial" w:cs="Arial"/>
          <w:szCs w:val="24"/>
          <w:lang w:val="de-DE"/>
        </w:rPr>
        <w:t xml:space="preserve"> </w:t>
      </w:r>
      <w:r w:rsidRPr="004675D3">
        <w:rPr>
          <w:rFonts w:ascii="Arial" w:hAnsi="Arial" w:cs="Arial"/>
          <w:noProof/>
          <w:szCs w:val="24"/>
        </w:rPr>
        <w:t xml:space="preserve">(2015) ‘Review of energy system flexibility measures to enable high levels of variable renewable electricity’, </w:t>
      </w:r>
      <w:r w:rsidRPr="004675D3">
        <w:rPr>
          <w:rFonts w:ascii="Arial" w:hAnsi="Arial" w:cs="Arial"/>
          <w:i/>
          <w:iCs/>
          <w:noProof/>
          <w:szCs w:val="24"/>
        </w:rPr>
        <w:t>Renewable and Sustainable Energy Reviews</w:t>
      </w:r>
      <w:r w:rsidRPr="004675D3">
        <w:rPr>
          <w:rFonts w:ascii="Arial" w:hAnsi="Arial" w:cs="Arial"/>
          <w:noProof/>
          <w:szCs w:val="24"/>
        </w:rPr>
        <w:t>. Elsevier, 45, pp. 785–807. doi: 10.1016/j.rser.2015.01.057.</w:t>
      </w:r>
    </w:p>
    <w:p w14:paraId="72A664B0"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Mitchell, C. </w:t>
      </w:r>
      <w:r w:rsidRPr="004675D3">
        <w:rPr>
          <w:rFonts w:ascii="Arial" w:hAnsi="Arial" w:cs="Arial"/>
          <w:i/>
          <w:iCs/>
          <w:noProof/>
          <w:szCs w:val="24"/>
        </w:rPr>
        <w:t>et al.</w:t>
      </w:r>
      <w:r w:rsidRPr="004675D3">
        <w:rPr>
          <w:rFonts w:ascii="Arial" w:hAnsi="Arial" w:cs="Arial"/>
          <w:noProof/>
          <w:szCs w:val="24"/>
        </w:rPr>
        <w:t xml:space="preserve"> (2011) </w:t>
      </w:r>
      <w:r w:rsidRPr="004675D3">
        <w:rPr>
          <w:rFonts w:ascii="Arial" w:hAnsi="Arial" w:cs="Arial"/>
          <w:i/>
          <w:iCs/>
          <w:noProof/>
          <w:szCs w:val="24"/>
        </w:rPr>
        <w:t>Policy, Financing and Implementation</w:t>
      </w:r>
      <w:r w:rsidRPr="004675D3">
        <w:rPr>
          <w:rFonts w:ascii="Arial" w:hAnsi="Arial" w:cs="Arial"/>
          <w:noProof/>
          <w:szCs w:val="24"/>
        </w:rPr>
        <w:t xml:space="preserve">, </w:t>
      </w:r>
      <w:r w:rsidRPr="004675D3">
        <w:rPr>
          <w:rFonts w:ascii="Arial" w:hAnsi="Arial" w:cs="Arial"/>
          <w:i/>
          <w:iCs/>
          <w:noProof/>
          <w:szCs w:val="24"/>
        </w:rPr>
        <w:t>IPCC Special Report on Renewable Energy Sources and Climate Change Mitigation</w:t>
      </w:r>
      <w:r w:rsidRPr="004675D3">
        <w:rPr>
          <w:rFonts w:ascii="Arial" w:hAnsi="Arial" w:cs="Arial"/>
          <w:noProof/>
          <w:szCs w:val="24"/>
        </w:rPr>
        <w:t>. Edited by O. Edenhofer et al. Cambridge, United Kingdom and New York, NY, USA: Cambridge University Press.</w:t>
      </w:r>
    </w:p>
    <w:p w14:paraId="7471B03E"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OECD/IEA and IRENA (2017) </w:t>
      </w:r>
      <w:r w:rsidRPr="004675D3">
        <w:rPr>
          <w:rFonts w:ascii="Arial" w:hAnsi="Arial" w:cs="Arial"/>
          <w:i/>
          <w:iCs/>
          <w:noProof/>
          <w:szCs w:val="24"/>
        </w:rPr>
        <w:t>Perspectives for the Energy Transition: Investment Needs for a Low-Carbon Energy System</w:t>
      </w:r>
      <w:r w:rsidRPr="004675D3">
        <w:rPr>
          <w:rFonts w:ascii="Arial" w:hAnsi="Arial" w:cs="Arial"/>
          <w:noProof/>
          <w:szCs w:val="24"/>
        </w:rPr>
        <w:t xml:space="preserve">, </w:t>
      </w:r>
      <w:r w:rsidRPr="004675D3">
        <w:rPr>
          <w:rFonts w:ascii="Arial" w:hAnsi="Arial" w:cs="Arial"/>
          <w:i/>
          <w:iCs/>
          <w:noProof/>
          <w:szCs w:val="24"/>
        </w:rPr>
        <w:t>International Energy Agency</w:t>
      </w:r>
      <w:r w:rsidRPr="004675D3">
        <w:rPr>
          <w:rFonts w:ascii="Arial" w:hAnsi="Arial" w:cs="Arial"/>
          <w:noProof/>
          <w:szCs w:val="24"/>
        </w:rPr>
        <w:t>. International Energy Agency, International Renewable Energy Agency. Available at: http://www.irena.org/DocumentDownloads/Publications/Perspectives_for_the_Energy_Transition_2017.pdf.</w:t>
      </w:r>
    </w:p>
    <w:p w14:paraId="4883218D"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Powell, J. T., Townsend, T. G. and Zimmerman, J. B. (2016) ‘Estimates of solid waste disposal rates and reduction targets for landfill gas emissions’, </w:t>
      </w:r>
      <w:r w:rsidRPr="004675D3">
        <w:rPr>
          <w:rFonts w:ascii="Arial" w:hAnsi="Arial" w:cs="Arial"/>
          <w:i/>
          <w:iCs/>
          <w:noProof/>
          <w:szCs w:val="24"/>
        </w:rPr>
        <w:t>Nature Climate Change</w:t>
      </w:r>
      <w:r w:rsidRPr="004675D3">
        <w:rPr>
          <w:rFonts w:ascii="Arial" w:hAnsi="Arial" w:cs="Arial"/>
          <w:noProof/>
          <w:szCs w:val="24"/>
        </w:rPr>
        <w:t>, 6(2), pp. 162–165. doi: 10.1038/nclimate2804.</w:t>
      </w:r>
    </w:p>
    <w:p w14:paraId="69AAEEC5"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Ray, R. L. </w:t>
      </w:r>
      <w:r w:rsidRPr="004675D3">
        <w:rPr>
          <w:rFonts w:ascii="Arial" w:hAnsi="Arial" w:cs="Arial"/>
          <w:i/>
          <w:iCs/>
          <w:noProof/>
          <w:szCs w:val="24"/>
        </w:rPr>
        <w:t>et al.</w:t>
      </w:r>
      <w:r w:rsidRPr="004675D3">
        <w:rPr>
          <w:rFonts w:ascii="Arial" w:hAnsi="Arial" w:cs="Arial"/>
          <w:noProof/>
          <w:szCs w:val="24"/>
        </w:rPr>
        <w:t xml:space="preserve"> (2020) ‘Soil CO2 emission in response to organic amendments, temperature, and rainfall’, </w:t>
      </w:r>
      <w:r w:rsidRPr="004675D3">
        <w:rPr>
          <w:rFonts w:ascii="Arial" w:hAnsi="Arial" w:cs="Arial"/>
          <w:i/>
          <w:iCs/>
          <w:noProof/>
          <w:szCs w:val="24"/>
        </w:rPr>
        <w:t>Scientific Reports</w:t>
      </w:r>
      <w:r w:rsidRPr="004675D3">
        <w:rPr>
          <w:rFonts w:ascii="Arial" w:hAnsi="Arial" w:cs="Arial"/>
          <w:noProof/>
          <w:szCs w:val="24"/>
        </w:rPr>
        <w:t>, 10(1), p. 5849. doi: 10.1038/s41598-020-62267-6.</w:t>
      </w:r>
    </w:p>
    <w:p w14:paraId="5D96DF85"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REN21 (2018) </w:t>
      </w:r>
      <w:r w:rsidRPr="004675D3">
        <w:rPr>
          <w:rFonts w:ascii="Arial" w:hAnsi="Arial" w:cs="Arial"/>
          <w:i/>
          <w:iCs/>
          <w:noProof/>
          <w:szCs w:val="24"/>
        </w:rPr>
        <w:t>Renewables 2018 global status report</w:t>
      </w:r>
      <w:r w:rsidRPr="004675D3">
        <w:rPr>
          <w:rFonts w:ascii="Arial" w:hAnsi="Arial" w:cs="Arial"/>
          <w:noProof/>
          <w:szCs w:val="24"/>
        </w:rPr>
        <w:t>. Paris, France, France: REN21.</w:t>
      </w:r>
    </w:p>
    <w:p w14:paraId="0009D700"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Rentschler, J. and Bazilian, M. (2017) ‘Reforming fossil fuel subsidies: drivers, barriers and the state of progress’, </w:t>
      </w:r>
      <w:r w:rsidRPr="004675D3">
        <w:rPr>
          <w:rFonts w:ascii="Arial" w:hAnsi="Arial" w:cs="Arial"/>
          <w:i/>
          <w:iCs/>
          <w:noProof/>
          <w:szCs w:val="24"/>
        </w:rPr>
        <w:t>Climate Policy</w:t>
      </w:r>
      <w:r w:rsidRPr="004675D3">
        <w:rPr>
          <w:rFonts w:ascii="Arial" w:hAnsi="Arial" w:cs="Arial"/>
          <w:noProof/>
          <w:szCs w:val="24"/>
        </w:rPr>
        <w:t>. Taylor &amp; Francis, 17(7), pp. 891–914. doi: 10.1080/14693062.2016.1169393.</w:t>
      </w:r>
    </w:p>
    <w:p w14:paraId="1489BAC6"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Roe, S. </w:t>
      </w:r>
      <w:r w:rsidRPr="004675D3">
        <w:rPr>
          <w:rFonts w:ascii="Arial" w:hAnsi="Arial" w:cs="Arial"/>
          <w:i/>
          <w:iCs/>
          <w:noProof/>
          <w:szCs w:val="24"/>
        </w:rPr>
        <w:t>et al.</w:t>
      </w:r>
      <w:r w:rsidRPr="004675D3">
        <w:rPr>
          <w:rFonts w:ascii="Arial" w:hAnsi="Arial" w:cs="Arial"/>
          <w:noProof/>
          <w:szCs w:val="24"/>
        </w:rPr>
        <w:t xml:space="preserve"> (2020) ‘Contribution of the land sector to a 1.5°C world’, </w:t>
      </w:r>
      <w:r w:rsidRPr="004675D3">
        <w:rPr>
          <w:rFonts w:ascii="Arial" w:hAnsi="Arial" w:cs="Arial"/>
          <w:i/>
          <w:iCs/>
          <w:noProof/>
          <w:szCs w:val="24"/>
        </w:rPr>
        <w:t>Nat. Clim. Chang</w:t>
      </w:r>
      <w:r w:rsidRPr="004675D3">
        <w:rPr>
          <w:rFonts w:ascii="Arial" w:hAnsi="Arial" w:cs="Arial"/>
          <w:noProof/>
          <w:szCs w:val="24"/>
        </w:rPr>
        <w:t>, 9, pp. 817–828. doi: 10.1038/s41558-019-0591-9.</w:t>
      </w:r>
    </w:p>
    <w:p w14:paraId="02CEF203"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Roelfsema, M. </w:t>
      </w:r>
      <w:r w:rsidRPr="004675D3">
        <w:rPr>
          <w:rFonts w:ascii="Arial" w:hAnsi="Arial" w:cs="Arial"/>
          <w:i/>
          <w:iCs/>
          <w:noProof/>
          <w:szCs w:val="24"/>
        </w:rPr>
        <w:t>et al.</w:t>
      </w:r>
      <w:r w:rsidRPr="004675D3">
        <w:rPr>
          <w:rFonts w:ascii="Arial" w:hAnsi="Arial" w:cs="Arial"/>
          <w:noProof/>
          <w:szCs w:val="24"/>
        </w:rPr>
        <w:t xml:space="preserve"> (2018) ‘Reducing global greenhouse gas emissions by replicating successful sector examples: the “good practice policies” scenario.’, </w:t>
      </w:r>
      <w:r w:rsidRPr="004675D3">
        <w:rPr>
          <w:rFonts w:ascii="Arial" w:hAnsi="Arial" w:cs="Arial"/>
          <w:i/>
          <w:iCs/>
          <w:noProof/>
          <w:szCs w:val="24"/>
        </w:rPr>
        <w:t>Climate Policy</w:t>
      </w:r>
      <w:r w:rsidRPr="004675D3">
        <w:rPr>
          <w:rFonts w:ascii="Arial" w:hAnsi="Arial" w:cs="Arial"/>
          <w:noProof/>
          <w:szCs w:val="24"/>
        </w:rPr>
        <w:t>, 18(9), pp. 1103–1113. doi: 10.1080/14693062.2018.1481356.</w:t>
      </w:r>
    </w:p>
    <w:p w14:paraId="58270113"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Somanathan, E. </w:t>
      </w:r>
      <w:r w:rsidRPr="004675D3">
        <w:rPr>
          <w:rFonts w:ascii="Arial" w:hAnsi="Arial" w:cs="Arial"/>
          <w:i/>
          <w:iCs/>
          <w:noProof/>
          <w:szCs w:val="24"/>
        </w:rPr>
        <w:t>et al.</w:t>
      </w:r>
      <w:r w:rsidRPr="004675D3">
        <w:rPr>
          <w:rFonts w:ascii="Arial" w:hAnsi="Arial" w:cs="Arial"/>
          <w:noProof/>
          <w:szCs w:val="24"/>
        </w:rPr>
        <w:t xml:space="preserve"> (2014) </w:t>
      </w:r>
      <w:r w:rsidRPr="004675D3">
        <w:rPr>
          <w:rFonts w:ascii="Arial" w:hAnsi="Arial" w:cs="Arial"/>
          <w:i/>
          <w:iCs/>
          <w:noProof/>
          <w:szCs w:val="24"/>
        </w:rPr>
        <w:t>National and Sub-national Policies and Institutions</w:t>
      </w:r>
      <w:r w:rsidRPr="004675D3">
        <w:rPr>
          <w:rFonts w:ascii="Arial" w:hAnsi="Arial" w:cs="Arial"/>
          <w:noProof/>
          <w:szCs w:val="24"/>
        </w:rPr>
        <w:t xml:space="preserve">, </w:t>
      </w:r>
      <w:r w:rsidRPr="004675D3">
        <w:rPr>
          <w:rFonts w:ascii="Arial" w:hAnsi="Arial" w:cs="Arial"/>
          <w:i/>
          <w:iCs/>
          <w:noProof/>
          <w:szCs w:val="24"/>
        </w:rPr>
        <w:t>Climate Change 2014: Mitigation of Climate Change. Contribution of Working Group III to the Fifth Assessment Report of the Intergovernmental Panel on Climate Change</w:t>
      </w:r>
      <w:r w:rsidRPr="004675D3">
        <w:rPr>
          <w:rFonts w:ascii="Arial" w:hAnsi="Arial" w:cs="Arial"/>
          <w:noProof/>
          <w:szCs w:val="24"/>
        </w:rPr>
        <w:t>. Edited by O. Edenhofer et al. Cambridge, United Kingdom and New York, NY, USA: Cambridge University Press.</w:t>
      </w:r>
    </w:p>
    <w:p w14:paraId="6B610F16"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Thompson, R. L. </w:t>
      </w:r>
      <w:r w:rsidRPr="004675D3">
        <w:rPr>
          <w:rFonts w:ascii="Arial" w:hAnsi="Arial" w:cs="Arial"/>
          <w:i/>
          <w:iCs/>
          <w:noProof/>
          <w:szCs w:val="24"/>
        </w:rPr>
        <w:t>et al.</w:t>
      </w:r>
      <w:r w:rsidRPr="004675D3">
        <w:rPr>
          <w:rFonts w:ascii="Arial" w:hAnsi="Arial" w:cs="Arial"/>
          <w:noProof/>
          <w:szCs w:val="24"/>
        </w:rPr>
        <w:t xml:space="preserve"> (2019) ‘Acceleration of global N2O emissions seen from two decades of atmospheric inversion’, </w:t>
      </w:r>
      <w:r w:rsidRPr="004675D3">
        <w:rPr>
          <w:rFonts w:ascii="Arial" w:hAnsi="Arial" w:cs="Arial"/>
          <w:i/>
          <w:iCs/>
          <w:noProof/>
          <w:szCs w:val="24"/>
        </w:rPr>
        <w:t>Nature Climate Change</w:t>
      </w:r>
      <w:r w:rsidRPr="004675D3">
        <w:rPr>
          <w:rFonts w:ascii="Arial" w:hAnsi="Arial" w:cs="Arial"/>
          <w:noProof/>
          <w:szCs w:val="24"/>
        </w:rPr>
        <w:t>, 9(12), pp. 993–998. doi: 10.1038/s41558-019-0613-7.</w:t>
      </w:r>
    </w:p>
    <w:p w14:paraId="058CADD1"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UNEP (2015) </w:t>
      </w:r>
      <w:r w:rsidRPr="004675D3">
        <w:rPr>
          <w:rFonts w:ascii="Arial" w:hAnsi="Arial" w:cs="Arial"/>
          <w:i/>
          <w:iCs/>
          <w:noProof/>
          <w:szCs w:val="24"/>
        </w:rPr>
        <w:t>The Emissions Gap Report 2015: A UNEP Synthesis Report</w:t>
      </w:r>
      <w:r w:rsidRPr="004675D3">
        <w:rPr>
          <w:rFonts w:ascii="Arial" w:hAnsi="Arial" w:cs="Arial"/>
          <w:noProof/>
          <w:szCs w:val="24"/>
        </w:rPr>
        <w:t>. Nairobi, Kenya: United Nations Environment Programme (UNEP). Available at: https://newclimateinstitute.files.wordpress.com/2015/12/unep-emissions-gap-report-2015.pdf.</w:t>
      </w:r>
    </w:p>
    <w:p w14:paraId="00F4D0EB"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UNEP (2016) </w:t>
      </w:r>
      <w:r w:rsidRPr="004675D3">
        <w:rPr>
          <w:rFonts w:ascii="Arial" w:hAnsi="Arial" w:cs="Arial"/>
          <w:i/>
          <w:iCs/>
          <w:noProof/>
          <w:szCs w:val="24"/>
        </w:rPr>
        <w:t>The Emissions Gap Report 2016</w:t>
      </w:r>
      <w:r w:rsidRPr="004675D3">
        <w:rPr>
          <w:rFonts w:ascii="Arial" w:hAnsi="Arial" w:cs="Arial"/>
          <w:noProof/>
          <w:szCs w:val="24"/>
        </w:rPr>
        <w:t>. Nairobi, Kenya: United Nations Environment Programme (UNEP). doi: ISBN 978-92-9253-062-4.</w:t>
      </w:r>
    </w:p>
    <w:p w14:paraId="4AFF7E5E"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UNEP (2019) </w:t>
      </w:r>
      <w:r w:rsidRPr="004675D3">
        <w:rPr>
          <w:rFonts w:ascii="Arial" w:hAnsi="Arial" w:cs="Arial"/>
          <w:i/>
          <w:iCs/>
          <w:noProof/>
          <w:szCs w:val="24"/>
        </w:rPr>
        <w:t>Emissions Gap Report 2019</w:t>
      </w:r>
      <w:r w:rsidRPr="004675D3">
        <w:rPr>
          <w:rFonts w:ascii="Arial" w:hAnsi="Arial" w:cs="Arial"/>
          <w:noProof/>
          <w:szCs w:val="24"/>
        </w:rPr>
        <w:t>. Nairobi, Kenya: United Nations Environment Programme. doi: 10.18356/ff6d1a84-en.</w:t>
      </w:r>
    </w:p>
    <w:p w14:paraId="469FC26D"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UNFCCC (2014a) </w:t>
      </w:r>
      <w:r w:rsidRPr="004675D3">
        <w:rPr>
          <w:rFonts w:ascii="Arial" w:hAnsi="Arial" w:cs="Arial"/>
          <w:i/>
          <w:iCs/>
          <w:noProof/>
          <w:szCs w:val="24"/>
        </w:rPr>
        <w:t>Non-market based approaches. Technical paper. FCCC/TP/2014/10</w:t>
      </w:r>
      <w:r w:rsidRPr="004675D3">
        <w:rPr>
          <w:rFonts w:ascii="Arial" w:hAnsi="Arial" w:cs="Arial"/>
          <w:noProof/>
          <w:szCs w:val="24"/>
        </w:rPr>
        <w:t>. Bonn, Germany: United Nations Framework Convention on Climate Change. Available at: http://unfccc.int/resource/docs/2014/tp/10.pdf (Accessed: 25 January 2016).</w:t>
      </w:r>
    </w:p>
    <w:p w14:paraId="79F2B293"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UNFCCC (2014b) </w:t>
      </w:r>
      <w:r w:rsidRPr="004675D3">
        <w:rPr>
          <w:rFonts w:ascii="Arial" w:hAnsi="Arial" w:cs="Arial"/>
          <w:i/>
          <w:iCs/>
          <w:noProof/>
          <w:szCs w:val="24"/>
        </w:rPr>
        <w:t>Updated compilation of information on mitigation benefits of actions, initiatives and options to enhance mitigation ambition. Technical paper FCCC/TP/2014/03</w:t>
      </w:r>
      <w:r w:rsidRPr="004675D3">
        <w:rPr>
          <w:rFonts w:ascii="Arial" w:hAnsi="Arial" w:cs="Arial"/>
          <w:noProof/>
          <w:szCs w:val="24"/>
        </w:rPr>
        <w:t>. Bonn,Germany: United Nations Framework Convention on Climate Change. Available at: http://unfccc.int/resource/docs/2014/tp/03.pdf (Accessed: 25 January 2016).</w:t>
      </w:r>
    </w:p>
    <w:p w14:paraId="6EB9AF94"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lastRenderedPageBreak/>
        <w:t xml:space="preserve">UNFCCC (2015) </w:t>
      </w:r>
      <w:r w:rsidRPr="004675D3">
        <w:rPr>
          <w:rFonts w:ascii="Arial" w:hAnsi="Arial" w:cs="Arial"/>
          <w:i/>
          <w:iCs/>
          <w:noProof/>
          <w:szCs w:val="24"/>
        </w:rPr>
        <w:t>Mitigation benefits of actions , initiatives and options to enhance mitigation ambition. Technical paper 2015</w:t>
      </w:r>
      <w:r w:rsidRPr="004675D3">
        <w:rPr>
          <w:rFonts w:ascii="Arial" w:hAnsi="Arial" w:cs="Arial"/>
          <w:noProof/>
          <w:szCs w:val="24"/>
        </w:rPr>
        <w:t>. Bonn, Germany: United Nations Framework Convention on Climate Change.</w:t>
      </w:r>
    </w:p>
    <w:p w14:paraId="6491BC78"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UNFCCC (2017) </w:t>
      </w:r>
      <w:r w:rsidRPr="004675D3">
        <w:rPr>
          <w:rFonts w:ascii="Arial" w:hAnsi="Arial" w:cs="Arial"/>
          <w:i/>
          <w:iCs/>
          <w:noProof/>
          <w:szCs w:val="24"/>
        </w:rPr>
        <w:t>Urban environment related mitigation benefits and co-benefits of policies, practices and actions for enhancing mitigation ambition and options for supporting their implementation. Technical paper by the secretariat</w:t>
      </w:r>
      <w:r w:rsidRPr="004675D3">
        <w:rPr>
          <w:rFonts w:ascii="Arial" w:hAnsi="Arial" w:cs="Arial"/>
          <w:noProof/>
          <w:szCs w:val="24"/>
        </w:rPr>
        <w:t>. Bonn, Germany: United Nations Framework Convention on Climate Change.</w:t>
      </w:r>
    </w:p>
    <w:p w14:paraId="45F8439A"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UNFCCC (2018) </w:t>
      </w:r>
      <w:r w:rsidRPr="004675D3">
        <w:rPr>
          <w:rFonts w:ascii="Arial" w:hAnsi="Arial" w:cs="Arial"/>
          <w:i/>
          <w:iCs/>
          <w:noProof/>
          <w:szCs w:val="24"/>
        </w:rPr>
        <w:t>Talanoa dialogue for climate ambition. Synthesis of the preparatory phase 19/11/2018</w:t>
      </w:r>
      <w:r w:rsidRPr="004675D3">
        <w:rPr>
          <w:rFonts w:ascii="Arial" w:hAnsi="Arial" w:cs="Arial"/>
          <w:noProof/>
          <w:szCs w:val="24"/>
        </w:rPr>
        <w:t>. Bonn, Germany: United Nations Framework Convention on Climate Change.</w:t>
      </w:r>
    </w:p>
    <w:p w14:paraId="60463606" w14:textId="77777777" w:rsidR="009D4BA6" w:rsidRPr="004675D3" w:rsidRDefault="009D4BA6" w:rsidP="009D4BA6">
      <w:pPr>
        <w:widowControl w:val="0"/>
        <w:autoSpaceDE w:val="0"/>
        <w:autoSpaceDN w:val="0"/>
        <w:adjustRightInd w:val="0"/>
        <w:spacing w:line="240" w:lineRule="auto"/>
        <w:rPr>
          <w:rFonts w:ascii="Arial" w:hAnsi="Arial" w:cs="Arial"/>
          <w:noProof/>
          <w:szCs w:val="24"/>
        </w:rPr>
      </w:pPr>
      <w:r w:rsidRPr="004675D3">
        <w:rPr>
          <w:rFonts w:ascii="Arial" w:hAnsi="Arial" w:cs="Arial"/>
          <w:noProof/>
          <w:szCs w:val="24"/>
        </w:rPr>
        <w:t xml:space="preserve">van Vuuren, D. P. </w:t>
      </w:r>
      <w:r w:rsidRPr="004675D3">
        <w:rPr>
          <w:rFonts w:ascii="Arial" w:hAnsi="Arial" w:cs="Arial"/>
          <w:i/>
          <w:iCs/>
          <w:noProof/>
          <w:szCs w:val="24"/>
        </w:rPr>
        <w:t>et al.</w:t>
      </w:r>
      <w:r w:rsidRPr="004675D3">
        <w:rPr>
          <w:rFonts w:ascii="Arial" w:hAnsi="Arial" w:cs="Arial"/>
          <w:noProof/>
          <w:szCs w:val="24"/>
        </w:rPr>
        <w:t xml:space="preserve"> (2018) ‘Alternative pathways to the 1.5 °C target reduce the need for negative emission technologies’, </w:t>
      </w:r>
      <w:r w:rsidRPr="004675D3">
        <w:rPr>
          <w:rFonts w:ascii="Arial" w:hAnsi="Arial" w:cs="Arial"/>
          <w:i/>
          <w:iCs/>
          <w:noProof/>
          <w:szCs w:val="24"/>
        </w:rPr>
        <w:t>Nature Climate Change</w:t>
      </w:r>
      <w:r w:rsidRPr="004675D3">
        <w:rPr>
          <w:rFonts w:ascii="Arial" w:hAnsi="Arial" w:cs="Arial"/>
          <w:noProof/>
          <w:szCs w:val="24"/>
        </w:rPr>
        <w:t>, p. 1. doi: 10.1038/s41558-018-0119-8.</w:t>
      </w:r>
    </w:p>
    <w:p w14:paraId="00935E2C" w14:textId="77777777" w:rsidR="009D4BA6" w:rsidRPr="004675D3" w:rsidRDefault="009D4BA6" w:rsidP="009D4BA6">
      <w:pPr>
        <w:widowControl w:val="0"/>
        <w:autoSpaceDE w:val="0"/>
        <w:autoSpaceDN w:val="0"/>
        <w:adjustRightInd w:val="0"/>
        <w:spacing w:line="240" w:lineRule="auto"/>
        <w:rPr>
          <w:rFonts w:ascii="Arial" w:hAnsi="Arial" w:cs="Arial"/>
          <w:noProof/>
        </w:rPr>
      </w:pPr>
      <w:r w:rsidRPr="004675D3">
        <w:rPr>
          <w:rFonts w:ascii="Arial" w:hAnsi="Arial" w:cs="Arial"/>
          <w:noProof/>
          <w:szCs w:val="24"/>
        </w:rPr>
        <w:t xml:space="preserve">Wright, L. and Fulton, L. (2005) ‘Climate Change Mitigation and Transport in Developing Nations’, </w:t>
      </w:r>
      <w:r w:rsidRPr="004675D3">
        <w:rPr>
          <w:rFonts w:ascii="Arial" w:hAnsi="Arial" w:cs="Arial"/>
          <w:i/>
          <w:iCs/>
          <w:noProof/>
          <w:szCs w:val="24"/>
        </w:rPr>
        <w:t>Transport Reviews</w:t>
      </w:r>
      <w:r w:rsidRPr="004675D3">
        <w:rPr>
          <w:rFonts w:ascii="Arial" w:hAnsi="Arial" w:cs="Arial"/>
          <w:noProof/>
          <w:szCs w:val="24"/>
        </w:rPr>
        <w:t>, 25(6), pp. 691–717. doi: 10.1080/01441640500360951.</w:t>
      </w:r>
    </w:p>
    <w:p w14:paraId="3ECAB902" w14:textId="1B48289D" w:rsidR="00A45A75" w:rsidRPr="004675D3" w:rsidRDefault="009D4BA6" w:rsidP="00A45A75">
      <w:pPr>
        <w:rPr>
          <w:rFonts w:ascii="Arial" w:hAnsi="Arial" w:cs="Arial"/>
        </w:rPr>
      </w:pPr>
      <w:r w:rsidRPr="004675D3">
        <w:rPr>
          <w:rFonts w:ascii="Arial" w:hAnsi="Arial" w:cs="Arial"/>
        </w:rPr>
        <w:fldChar w:fldCharType="end"/>
      </w:r>
    </w:p>
    <w:sectPr w:rsidR="00A45A75" w:rsidRPr="004675D3" w:rsidSect="00A87596">
      <w:type w:val="continuous"/>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6C514" w14:textId="77777777" w:rsidR="001E56A4" w:rsidRDefault="001E56A4" w:rsidP="00626F14">
      <w:pPr>
        <w:spacing w:after="0" w:line="240" w:lineRule="auto"/>
      </w:pPr>
      <w:r>
        <w:separator/>
      </w:r>
    </w:p>
  </w:endnote>
  <w:endnote w:type="continuationSeparator" w:id="0">
    <w:p w14:paraId="462764A7" w14:textId="77777777" w:rsidR="001E56A4" w:rsidRDefault="001E56A4" w:rsidP="00626F14">
      <w:pPr>
        <w:spacing w:after="0" w:line="240" w:lineRule="auto"/>
      </w:pPr>
      <w:r>
        <w:continuationSeparator/>
      </w:r>
    </w:p>
  </w:endnote>
  <w:endnote w:type="continuationNotice" w:id="1">
    <w:p w14:paraId="5E87DE04" w14:textId="77777777" w:rsidR="001E56A4" w:rsidRDefault="001E56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erriweather-Light">
    <w:altName w:val="Cambria Math"/>
    <w:charset w:val="00"/>
    <w:family w:val="auto"/>
    <w:pitch w:val="variable"/>
    <w:sig w:usb0="800000A7" w:usb1="5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02768" w14:textId="77777777" w:rsidR="001E56A4" w:rsidRDefault="001E56A4" w:rsidP="00626F14">
      <w:pPr>
        <w:spacing w:after="0" w:line="240" w:lineRule="auto"/>
      </w:pPr>
      <w:r>
        <w:separator/>
      </w:r>
    </w:p>
  </w:footnote>
  <w:footnote w:type="continuationSeparator" w:id="0">
    <w:p w14:paraId="08E517D7" w14:textId="77777777" w:rsidR="001E56A4" w:rsidRDefault="001E56A4" w:rsidP="00626F14">
      <w:pPr>
        <w:spacing w:after="0" w:line="240" w:lineRule="auto"/>
      </w:pPr>
      <w:r>
        <w:continuationSeparator/>
      </w:r>
    </w:p>
  </w:footnote>
  <w:footnote w:type="continuationNotice" w:id="1">
    <w:p w14:paraId="6EF97F3A" w14:textId="77777777" w:rsidR="001E56A4" w:rsidRDefault="001E56A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C4E65"/>
    <w:multiLevelType w:val="hybridMultilevel"/>
    <w:tmpl w:val="2CE25F48"/>
    <w:lvl w:ilvl="0" w:tplc="C38A3F00">
      <w:start w:val="2017"/>
      <w:numFmt w:val="bullet"/>
      <w:lvlText w:val="-"/>
      <w:lvlJc w:val="left"/>
      <w:pPr>
        <w:ind w:left="720" w:hanging="360"/>
      </w:pPr>
      <w:rPr>
        <w:rFonts w:ascii="Helvetica" w:eastAsiaTheme="minorEastAsia"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26F11"/>
    <w:multiLevelType w:val="hybridMultilevel"/>
    <w:tmpl w:val="5B5EC054"/>
    <w:lvl w:ilvl="0" w:tplc="8CD09CD6">
      <w:start w:val="1"/>
      <w:numFmt w:val="decimal"/>
      <w:lvlText w:val="%1."/>
      <w:lvlJc w:val="left"/>
      <w:pPr>
        <w:ind w:left="720" w:hanging="360"/>
      </w:pPr>
      <w:rPr>
        <w:rFonts w:ascii="Arial" w:hAnsi="Arial" w:hint="default"/>
        <w:b w:val="0"/>
        <w:i w:val="0"/>
        <w:color w:val="5B9BD5" w:themeColor="accen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F64329"/>
    <w:multiLevelType w:val="multilevel"/>
    <w:tmpl w:val="2BBAF13A"/>
    <w:styleLink w:val="NewClimateInstituteBulletsSimple"/>
    <w:lvl w:ilvl="0">
      <w:start w:val="1"/>
      <w:numFmt w:val="bullet"/>
      <w:lvlText w:val=""/>
      <w:lvlJc w:val="left"/>
      <w:pPr>
        <w:ind w:left="624" w:hanging="340"/>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B502CDB"/>
    <w:multiLevelType w:val="multilevel"/>
    <w:tmpl w:val="968E37A6"/>
    <w:styleLink w:val="NewClimateInstituteBullets"/>
    <w:lvl w:ilvl="0">
      <w:start w:val="1"/>
      <w:numFmt w:val="bullet"/>
      <w:lvlText w:val=""/>
      <w:lvlJc w:val="left"/>
      <w:pPr>
        <w:tabs>
          <w:tab w:val="num" w:pos="397"/>
        </w:tabs>
        <w:ind w:left="567" w:hanging="283"/>
      </w:pPr>
      <w:rPr>
        <w:rFonts w:ascii="Arial" w:hAnsi="Arial" w:hint="default"/>
        <w:color w:val="auto"/>
        <w:sz w:val="20"/>
      </w:rPr>
    </w:lvl>
    <w:lvl w:ilvl="1">
      <w:start w:val="1"/>
      <w:numFmt w:val="bullet"/>
      <w:lvlText w:val=""/>
      <w:lvlJc w:val="left"/>
      <w:pPr>
        <w:tabs>
          <w:tab w:val="num" w:pos="737"/>
        </w:tabs>
        <w:ind w:left="964" w:hanging="284"/>
      </w:pPr>
      <w:rPr>
        <w:rFonts w:ascii="Symbol" w:hAnsi="Symbol" w:hint="default"/>
        <w:color w:val="44546A" w:themeColor="text2"/>
      </w:rPr>
    </w:lvl>
    <w:lvl w:ilvl="2">
      <w:start w:val="1"/>
      <w:numFmt w:val="bullet"/>
      <w:lvlText w:val=""/>
      <w:lvlJc w:val="left"/>
      <w:pPr>
        <w:tabs>
          <w:tab w:val="num" w:pos="1021"/>
        </w:tabs>
        <w:ind w:left="1304" w:hanging="283"/>
      </w:pPr>
      <w:rPr>
        <w:rFonts w:ascii="Symbol" w:hAnsi="Symbol" w:hint="default"/>
        <w:color w:val="44546A" w:themeColor="text2"/>
      </w:rPr>
    </w:lvl>
    <w:lvl w:ilvl="3">
      <w:start w:val="1"/>
      <w:numFmt w:val="bullet"/>
      <w:lvlText w:val=""/>
      <w:lvlJc w:val="left"/>
      <w:pPr>
        <w:tabs>
          <w:tab w:val="num" w:pos="1361"/>
        </w:tabs>
        <w:ind w:left="1644" w:hanging="283"/>
      </w:pPr>
      <w:rPr>
        <w:rFonts w:ascii="Symbol" w:hAnsi="Symbol" w:hint="default"/>
        <w:color w:val="5B9BD5" w:themeColor="accent1"/>
      </w:rPr>
    </w:lvl>
    <w:lvl w:ilvl="4">
      <w:start w:val="1"/>
      <w:numFmt w:val="bullet"/>
      <w:lvlText w:val="o"/>
      <w:lvlJc w:val="left"/>
      <w:pPr>
        <w:tabs>
          <w:tab w:val="num" w:pos="1701"/>
        </w:tabs>
        <w:ind w:left="1985" w:hanging="284"/>
      </w:pPr>
      <w:rPr>
        <w:rFonts w:ascii="Symbol" w:hAnsi="Symbol" w:hint="default"/>
        <w:color w:val="5B9BD5" w:themeColor="accent1"/>
        <w:sz w:val="20"/>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4E7C8F"/>
    <w:multiLevelType w:val="multilevel"/>
    <w:tmpl w:val="4DF04492"/>
    <w:lvl w:ilvl="0">
      <w:start w:val="1"/>
      <w:numFmt w:val="decimal"/>
      <w:lvlText w:val="%1."/>
      <w:lvlJc w:val="left"/>
      <w:pPr>
        <w:tabs>
          <w:tab w:val="num" w:pos="397"/>
        </w:tabs>
        <w:ind w:left="624" w:hanging="454"/>
      </w:pPr>
      <w:rPr>
        <w:rFonts w:ascii="Arial" w:hAnsi="Arial" w:hint="default"/>
        <w:color w:val="5B9BD5" w:themeColor="accent1"/>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01F1D2F"/>
    <w:multiLevelType w:val="hybridMultilevel"/>
    <w:tmpl w:val="8E4A2FE6"/>
    <w:lvl w:ilvl="0" w:tplc="BA5830A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4507D7"/>
    <w:multiLevelType w:val="multilevel"/>
    <w:tmpl w:val="5984B35C"/>
    <w:numStyleLink w:val="NewClimateInstituteNumbersOrange"/>
  </w:abstractNum>
  <w:abstractNum w:abstractNumId="7" w15:restartNumberingAfterBreak="0">
    <w:nsid w:val="133170E3"/>
    <w:multiLevelType w:val="hybridMultilevel"/>
    <w:tmpl w:val="0EB20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2C1073"/>
    <w:multiLevelType w:val="multilevel"/>
    <w:tmpl w:val="4DEA9CE2"/>
    <w:numStyleLink w:val="NewClimateInstituteNumbersBlack"/>
  </w:abstractNum>
  <w:abstractNum w:abstractNumId="9" w15:restartNumberingAfterBreak="0">
    <w:nsid w:val="14E13B18"/>
    <w:multiLevelType w:val="hybridMultilevel"/>
    <w:tmpl w:val="938CEB00"/>
    <w:lvl w:ilvl="0" w:tplc="4086C8B8">
      <w:start w:val="1"/>
      <w:numFmt w:val="decimal"/>
      <w:lvlText w:val="%1"/>
      <w:lvlJc w:val="left"/>
      <w:pPr>
        <w:ind w:left="720" w:hanging="360"/>
      </w:pPr>
      <w:rPr>
        <w:rFonts w:ascii="Arial" w:hAnsi="Arial" w:hint="default"/>
        <w:color w:val="5B9BD5" w:themeColor="accent1"/>
        <w:sz w:val="28"/>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8CD09CD6">
      <w:start w:val="1"/>
      <w:numFmt w:val="decimal"/>
      <w:lvlText w:val="%7."/>
      <w:lvlJc w:val="left"/>
      <w:pPr>
        <w:ind w:left="5040" w:hanging="360"/>
      </w:pPr>
      <w:rPr>
        <w:rFonts w:ascii="Arial" w:hAnsi="Arial" w:hint="default"/>
        <w:b w:val="0"/>
        <w:i w:val="0"/>
        <w:color w:val="5B9BD5" w:themeColor="accent1"/>
        <w:sz w:val="20"/>
      </w:r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8F20F7"/>
    <w:multiLevelType w:val="multilevel"/>
    <w:tmpl w:val="1D1C11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CA81A0E"/>
    <w:multiLevelType w:val="multilevel"/>
    <w:tmpl w:val="4DEA9CE2"/>
    <w:numStyleLink w:val="NewClimateInstituteNumbersBlack"/>
  </w:abstractNum>
  <w:abstractNum w:abstractNumId="12" w15:restartNumberingAfterBreak="0">
    <w:nsid w:val="1D8243F0"/>
    <w:multiLevelType w:val="multilevel"/>
    <w:tmpl w:val="2BBAF13A"/>
    <w:numStyleLink w:val="NewClimateInstituteBulletsSimple"/>
  </w:abstractNum>
  <w:abstractNum w:abstractNumId="13" w15:restartNumberingAfterBreak="0">
    <w:nsid w:val="1FB34BE5"/>
    <w:multiLevelType w:val="multilevel"/>
    <w:tmpl w:val="0A8862AC"/>
    <w:lvl w:ilvl="0">
      <w:start w:val="1"/>
      <w:numFmt w:val="decimal"/>
      <w:lvlText w:val="%1."/>
      <w:lvlJc w:val="left"/>
      <w:pPr>
        <w:tabs>
          <w:tab w:val="num" w:pos="397"/>
        </w:tabs>
        <w:ind w:left="567" w:hanging="283"/>
      </w:pPr>
      <w:rPr>
        <w:rFonts w:ascii="Arial" w:hAnsi="Arial" w:hint="default"/>
        <w:color w:val="5B9BD5" w:themeColor="accent1"/>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2E844FC"/>
    <w:multiLevelType w:val="multilevel"/>
    <w:tmpl w:val="4DEA9CE2"/>
    <w:styleLink w:val="NewClimateInstituteNumbersBlack"/>
    <w:lvl w:ilvl="0">
      <w:start w:val="1"/>
      <w:numFmt w:val="decimal"/>
      <w:lvlText w:val="%1."/>
      <w:lvlJc w:val="left"/>
      <w:pPr>
        <w:tabs>
          <w:tab w:val="num" w:pos="397"/>
        </w:tabs>
        <w:ind w:left="624" w:hanging="340"/>
      </w:pPr>
      <w:rPr>
        <w:rFonts w:ascii="Arial" w:hAnsi="Arial" w:hint="default"/>
        <w:color w:val="auto"/>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524FB5"/>
    <w:multiLevelType w:val="multilevel"/>
    <w:tmpl w:val="968E37A6"/>
    <w:numStyleLink w:val="NewClimateInstituteBullets"/>
  </w:abstractNum>
  <w:abstractNum w:abstractNumId="16" w15:restartNumberingAfterBreak="0">
    <w:nsid w:val="33575644"/>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2987" w:hanging="576"/>
      </w:p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360D3F3A"/>
    <w:multiLevelType w:val="singleLevel"/>
    <w:tmpl w:val="0809000F"/>
    <w:lvl w:ilvl="0">
      <w:start w:val="1"/>
      <w:numFmt w:val="decimal"/>
      <w:lvlText w:val="%1."/>
      <w:lvlJc w:val="left"/>
      <w:pPr>
        <w:ind w:left="360" w:hanging="360"/>
      </w:pPr>
      <w:rPr>
        <w:rFonts w:hint="default"/>
        <w:color w:val="000000" w:themeColor="text1"/>
      </w:rPr>
    </w:lvl>
  </w:abstractNum>
  <w:abstractNum w:abstractNumId="18" w15:restartNumberingAfterBreak="0">
    <w:nsid w:val="366A3965"/>
    <w:multiLevelType w:val="multilevel"/>
    <w:tmpl w:val="968E37A6"/>
    <w:numStyleLink w:val="NewClimateInstituteBullets"/>
  </w:abstractNum>
  <w:abstractNum w:abstractNumId="19" w15:restartNumberingAfterBreak="0">
    <w:nsid w:val="36E539B6"/>
    <w:multiLevelType w:val="hybridMultilevel"/>
    <w:tmpl w:val="917A982A"/>
    <w:lvl w:ilvl="0" w:tplc="4086C8B8">
      <w:start w:val="1"/>
      <w:numFmt w:val="decimal"/>
      <w:lvlText w:val="%1"/>
      <w:lvlJc w:val="left"/>
      <w:pPr>
        <w:ind w:left="720" w:hanging="360"/>
      </w:pPr>
      <w:rPr>
        <w:rFonts w:ascii="Arial" w:hAnsi="Arial" w:hint="default"/>
        <w:color w:val="5B9BD5" w:themeColor="accent1"/>
        <w:sz w:val="28"/>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557412"/>
    <w:multiLevelType w:val="multilevel"/>
    <w:tmpl w:val="2BBAF13A"/>
    <w:numStyleLink w:val="NewClimateInstituteBulletsSimple"/>
  </w:abstractNum>
  <w:abstractNum w:abstractNumId="21" w15:restartNumberingAfterBreak="0">
    <w:nsid w:val="38512937"/>
    <w:multiLevelType w:val="multilevel"/>
    <w:tmpl w:val="31BC6A84"/>
    <w:lvl w:ilvl="0">
      <w:start w:val="1"/>
      <w:numFmt w:val="decimal"/>
      <w:lvlText w:val="%1."/>
      <w:lvlJc w:val="left"/>
      <w:pPr>
        <w:tabs>
          <w:tab w:val="num" w:pos="397"/>
        </w:tabs>
        <w:ind w:left="284" w:hanging="284"/>
      </w:pPr>
      <w:rPr>
        <w:rFonts w:ascii="Arial" w:hAnsi="Arial" w:hint="default"/>
        <w:b w:val="0"/>
        <w:i w:val="0"/>
        <w:color w:val="5B9BD5" w:themeColor="accent1"/>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7A47CD"/>
    <w:multiLevelType w:val="multilevel"/>
    <w:tmpl w:val="81A655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9BF0F5E"/>
    <w:multiLevelType w:val="multilevel"/>
    <w:tmpl w:val="4DEA9CE2"/>
    <w:numStyleLink w:val="NewClimateInstituteNumbersBlack"/>
  </w:abstractNum>
  <w:abstractNum w:abstractNumId="24" w15:restartNumberingAfterBreak="0">
    <w:nsid w:val="3F7D72BF"/>
    <w:multiLevelType w:val="hybridMultilevel"/>
    <w:tmpl w:val="12386E90"/>
    <w:lvl w:ilvl="0" w:tplc="8CD09CD6">
      <w:start w:val="1"/>
      <w:numFmt w:val="decimal"/>
      <w:lvlText w:val="%1."/>
      <w:lvlJc w:val="left"/>
      <w:pPr>
        <w:ind w:left="720" w:hanging="360"/>
      </w:pPr>
      <w:rPr>
        <w:rFonts w:ascii="Arial" w:hAnsi="Arial" w:hint="default"/>
        <w:b w:val="0"/>
        <w:i w:val="0"/>
        <w:color w:val="5B9BD5" w:themeColor="accen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8CD09CD6">
      <w:start w:val="1"/>
      <w:numFmt w:val="decimal"/>
      <w:lvlText w:val="%7."/>
      <w:lvlJc w:val="left"/>
      <w:pPr>
        <w:ind w:left="5040" w:hanging="360"/>
      </w:pPr>
      <w:rPr>
        <w:rFonts w:ascii="Arial" w:hAnsi="Arial" w:hint="default"/>
        <w:b w:val="0"/>
        <w:i w:val="0"/>
        <w:color w:val="5B9BD5" w:themeColor="accent1"/>
        <w:sz w:val="20"/>
      </w:r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C057C2"/>
    <w:multiLevelType w:val="hybridMultilevel"/>
    <w:tmpl w:val="FF84256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B50B7D"/>
    <w:multiLevelType w:val="hybridMultilevel"/>
    <w:tmpl w:val="610A1FD4"/>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1371BB"/>
    <w:multiLevelType w:val="hybridMultilevel"/>
    <w:tmpl w:val="AA24A99C"/>
    <w:lvl w:ilvl="0" w:tplc="7A2C7D4E">
      <w:numFmt w:val="bullet"/>
      <w:lvlText w:val="-"/>
      <w:lvlJc w:val="left"/>
      <w:pPr>
        <w:ind w:left="720" w:hanging="360"/>
      </w:pPr>
      <w:rPr>
        <w:rFonts w:ascii="Helvetica" w:eastAsia="Merriweather-Light" w:hAnsi="Helvetica" w:cs="Helvetica"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8" w15:restartNumberingAfterBreak="0">
    <w:nsid w:val="439C05BE"/>
    <w:multiLevelType w:val="hybridMultilevel"/>
    <w:tmpl w:val="05F01E5C"/>
    <w:lvl w:ilvl="0" w:tplc="53CE7B6A">
      <w:start w:val="1"/>
      <w:numFmt w:val="bullet"/>
      <w:lvlText w:val=""/>
      <w:lvlJc w:val="left"/>
      <w:pPr>
        <w:ind w:left="1145" w:hanging="360"/>
      </w:pPr>
      <w:rPr>
        <w:rFonts w:ascii="Symbol" w:hAnsi="Symbol" w:hint="default"/>
        <w:color w:val="auto"/>
        <w:sz w:val="28"/>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9" w15:restartNumberingAfterBreak="0">
    <w:nsid w:val="44042041"/>
    <w:multiLevelType w:val="multilevel"/>
    <w:tmpl w:val="5984B35C"/>
    <w:styleLink w:val="NewClimateInstituteNumbersOrange"/>
    <w:lvl w:ilvl="0">
      <w:start w:val="1"/>
      <w:numFmt w:val="decimal"/>
      <w:lvlText w:val="%1."/>
      <w:lvlJc w:val="left"/>
      <w:pPr>
        <w:tabs>
          <w:tab w:val="num" w:pos="397"/>
        </w:tabs>
        <w:ind w:left="624" w:hanging="340"/>
      </w:pPr>
      <w:rPr>
        <w:rFonts w:ascii="Arial" w:hAnsi="Arial" w:hint="default"/>
        <w:color w:val="5B9BD5" w:themeColor="accent1"/>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41C2498"/>
    <w:multiLevelType w:val="multilevel"/>
    <w:tmpl w:val="2BBAF13A"/>
    <w:numStyleLink w:val="NewClimateInstituteBulletsSimple"/>
  </w:abstractNum>
  <w:abstractNum w:abstractNumId="31" w15:restartNumberingAfterBreak="0">
    <w:nsid w:val="46211962"/>
    <w:multiLevelType w:val="hybridMultilevel"/>
    <w:tmpl w:val="E8FA69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462364D6"/>
    <w:multiLevelType w:val="multilevel"/>
    <w:tmpl w:val="13D08666"/>
    <w:styleLink w:val="old"/>
    <w:lvl w:ilvl="0">
      <w:start w:val="1"/>
      <w:numFmt w:val="bullet"/>
      <w:lvlText w:val=""/>
      <w:lvlJc w:val="left"/>
      <w:pPr>
        <w:ind w:left="907" w:hanging="567"/>
      </w:pPr>
      <w:rPr>
        <w:rFonts w:ascii="Arial" w:hAnsi="Arial" w:hint="default"/>
        <w:color w:val="auto"/>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81C186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A6A1900"/>
    <w:multiLevelType w:val="multilevel"/>
    <w:tmpl w:val="5984B35C"/>
    <w:numStyleLink w:val="NewClimateInstituteNumbersOrange"/>
  </w:abstractNum>
  <w:abstractNum w:abstractNumId="35" w15:restartNumberingAfterBreak="0">
    <w:nsid w:val="4C257B85"/>
    <w:multiLevelType w:val="singleLevel"/>
    <w:tmpl w:val="0809000F"/>
    <w:lvl w:ilvl="0">
      <w:start w:val="1"/>
      <w:numFmt w:val="decimal"/>
      <w:lvlText w:val="%1."/>
      <w:lvlJc w:val="left"/>
      <w:pPr>
        <w:tabs>
          <w:tab w:val="num" w:pos="397"/>
        </w:tabs>
        <w:ind w:left="284" w:hanging="284"/>
      </w:pPr>
      <w:rPr>
        <w:rFonts w:hint="default"/>
        <w:color w:val="5B9BD5" w:themeColor="accent1"/>
        <w:sz w:val="20"/>
      </w:rPr>
    </w:lvl>
  </w:abstractNum>
  <w:abstractNum w:abstractNumId="36" w15:restartNumberingAfterBreak="0">
    <w:nsid w:val="4D557949"/>
    <w:multiLevelType w:val="hybridMultilevel"/>
    <w:tmpl w:val="7390D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794A70"/>
    <w:multiLevelType w:val="hybridMultilevel"/>
    <w:tmpl w:val="0CB26F1E"/>
    <w:lvl w:ilvl="0" w:tplc="E01ACEB6">
      <w:start w:val="1"/>
      <w:numFmt w:val="bullet"/>
      <w:lvlText w:val=""/>
      <w:lvlJc w:val="left"/>
      <w:pPr>
        <w:ind w:left="720" w:hanging="360"/>
      </w:pPr>
      <w:rPr>
        <w:rFonts w:ascii="Symbol" w:hAnsi="Symbol" w:hint="default"/>
        <w:color w:val="auto"/>
        <w:sz w:val="19"/>
        <w:szCs w:val="19"/>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52344BF0"/>
    <w:multiLevelType w:val="multilevel"/>
    <w:tmpl w:val="5984B35C"/>
    <w:numStyleLink w:val="NewClimateInstituteNumbersOrange"/>
  </w:abstractNum>
  <w:abstractNum w:abstractNumId="39" w15:restartNumberingAfterBreak="0">
    <w:nsid w:val="5A9602B3"/>
    <w:multiLevelType w:val="hybridMultilevel"/>
    <w:tmpl w:val="7BD4E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FF8657F"/>
    <w:multiLevelType w:val="hybridMultilevel"/>
    <w:tmpl w:val="E42618E0"/>
    <w:lvl w:ilvl="0" w:tplc="89248A7C">
      <w:start w:val="1"/>
      <w:numFmt w:val="bullet"/>
      <w:pStyle w:val="FooterNewClimatePageNumber"/>
      <w:lvlText w:val=""/>
      <w:lvlJc w:val="left"/>
      <w:pPr>
        <w:ind w:left="6173" w:hanging="360"/>
      </w:pPr>
      <w:rPr>
        <w:rFonts w:ascii="Symbol" w:hAnsi="Symbol" w:hint="default"/>
        <w:color w:val="auto"/>
        <w:sz w:val="19"/>
        <w:szCs w:val="19"/>
      </w:rPr>
    </w:lvl>
    <w:lvl w:ilvl="1" w:tplc="08090003" w:tentative="1">
      <w:start w:val="1"/>
      <w:numFmt w:val="bullet"/>
      <w:lvlText w:val="o"/>
      <w:lvlJc w:val="left"/>
      <w:pPr>
        <w:ind w:left="6893" w:hanging="360"/>
      </w:pPr>
      <w:rPr>
        <w:rFonts w:ascii="Courier New" w:hAnsi="Courier New" w:cs="Courier New" w:hint="default"/>
      </w:rPr>
    </w:lvl>
    <w:lvl w:ilvl="2" w:tplc="08090005" w:tentative="1">
      <w:start w:val="1"/>
      <w:numFmt w:val="bullet"/>
      <w:lvlText w:val=""/>
      <w:lvlJc w:val="left"/>
      <w:pPr>
        <w:ind w:left="7613" w:hanging="360"/>
      </w:pPr>
      <w:rPr>
        <w:rFonts w:ascii="Wingdings" w:hAnsi="Wingdings" w:hint="default"/>
      </w:rPr>
    </w:lvl>
    <w:lvl w:ilvl="3" w:tplc="08090001" w:tentative="1">
      <w:start w:val="1"/>
      <w:numFmt w:val="bullet"/>
      <w:lvlText w:val=""/>
      <w:lvlJc w:val="left"/>
      <w:pPr>
        <w:ind w:left="8333" w:hanging="360"/>
      </w:pPr>
      <w:rPr>
        <w:rFonts w:ascii="Symbol" w:hAnsi="Symbol" w:hint="default"/>
      </w:rPr>
    </w:lvl>
    <w:lvl w:ilvl="4" w:tplc="08090003" w:tentative="1">
      <w:start w:val="1"/>
      <w:numFmt w:val="bullet"/>
      <w:lvlText w:val="o"/>
      <w:lvlJc w:val="left"/>
      <w:pPr>
        <w:ind w:left="9053" w:hanging="360"/>
      </w:pPr>
      <w:rPr>
        <w:rFonts w:ascii="Courier New" w:hAnsi="Courier New" w:cs="Courier New" w:hint="default"/>
      </w:rPr>
    </w:lvl>
    <w:lvl w:ilvl="5" w:tplc="08090005" w:tentative="1">
      <w:start w:val="1"/>
      <w:numFmt w:val="bullet"/>
      <w:lvlText w:val=""/>
      <w:lvlJc w:val="left"/>
      <w:pPr>
        <w:ind w:left="9773" w:hanging="360"/>
      </w:pPr>
      <w:rPr>
        <w:rFonts w:ascii="Wingdings" w:hAnsi="Wingdings" w:hint="default"/>
      </w:rPr>
    </w:lvl>
    <w:lvl w:ilvl="6" w:tplc="08090001" w:tentative="1">
      <w:start w:val="1"/>
      <w:numFmt w:val="bullet"/>
      <w:lvlText w:val=""/>
      <w:lvlJc w:val="left"/>
      <w:pPr>
        <w:ind w:left="10493" w:hanging="360"/>
      </w:pPr>
      <w:rPr>
        <w:rFonts w:ascii="Symbol" w:hAnsi="Symbol" w:hint="default"/>
      </w:rPr>
    </w:lvl>
    <w:lvl w:ilvl="7" w:tplc="08090003" w:tentative="1">
      <w:start w:val="1"/>
      <w:numFmt w:val="bullet"/>
      <w:lvlText w:val="o"/>
      <w:lvlJc w:val="left"/>
      <w:pPr>
        <w:ind w:left="11213" w:hanging="360"/>
      </w:pPr>
      <w:rPr>
        <w:rFonts w:ascii="Courier New" w:hAnsi="Courier New" w:cs="Courier New" w:hint="default"/>
      </w:rPr>
    </w:lvl>
    <w:lvl w:ilvl="8" w:tplc="08090005" w:tentative="1">
      <w:start w:val="1"/>
      <w:numFmt w:val="bullet"/>
      <w:lvlText w:val=""/>
      <w:lvlJc w:val="left"/>
      <w:pPr>
        <w:ind w:left="11933" w:hanging="360"/>
      </w:pPr>
      <w:rPr>
        <w:rFonts w:ascii="Wingdings" w:hAnsi="Wingdings" w:hint="default"/>
      </w:rPr>
    </w:lvl>
  </w:abstractNum>
  <w:abstractNum w:abstractNumId="41" w15:restartNumberingAfterBreak="0">
    <w:nsid w:val="60555C46"/>
    <w:multiLevelType w:val="hybridMultilevel"/>
    <w:tmpl w:val="E732EFD2"/>
    <w:lvl w:ilvl="0" w:tplc="DE3A0316">
      <w:start w:val="1"/>
      <w:numFmt w:val="bullet"/>
      <w:lvlText w:val=""/>
      <w:lvlJc w:val="left"/>
      <w:pPr>
        <w:ind w:left="720" w:hanging="360"/>
      </w:pPr>
      <w:rPr>
        <w:rFonts w:ascii="Symbol" w:hAnsi="Symbol" w:hint="default"/>
        <w:color w:val="auto"/>
        <w:sz w:val="19"/>
        <w:szCs w:val="1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9C33E10"/>
    <w:multiLevelType w:val="multilevel"/>
    <w:tmpl w:val="0A8862AC"/>
    <w:lvl w:ilvl="0">
      <w:start w:val="1"/>
      <w:numFmt w:val="decimal"/>
      <w:lvlText w:val="%1."/>
      <w:lvlJc w:val="left"/>
      <w:pPr>
        <w:tabs>
          <w:tab w:val="num" w:pos="397"/>
        </w:tabs>
        <w:ind w:left="510" w:hanging="340"/>
      </w:pPr>
      <w:rPr>
        <w:rFonts w:ascii="Arial" w:hAnsi="Arial" w:hint="default"/>
        <w:color w:val="5B9BD5" w:themeColor="accent1"/>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C571FCB"/>
    <w:multiLevelType w:val="hybridMultilevel"/>
    <w:tmpl w:val="BA386E28"/>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48025BA"/>
    <w:multiLevelType w:val="hybridMultilevel"/>
    <w:tmpl w:val="84D20A78"/>
    <w:lvl w:ilvl="0" w:tplc="1B9ECC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39"/>
  </w:num>
  <w:num w:numId="3">
    <w:abstractNumId w:val="0"/>
  </w:num>
  <w:num w:numId="4">
    <w:abstractNumId w:val="27"/>
  </w:num>
  <w:num w:numId="5">
    <w:abstractNumId w:val="10"/>
  </w:num>
  <w:num w:numId="6">
    <w:abstractNumId w:val="36"/>
  </w:num>
  <w:num w:numId="7">
    <w:abstractNumId w:val="32"/>
  </w:num>
  <w:num w:numId="8">
    <w:abstractNumId w:val="3"/>
  </w:num>
  <w:num w:numId="9">
    <w:abstractNumId w:val="29"/>
  </w:num>
  <w:num w:numId="10">
    <w:abstractNumId w:val="35"/>
  </w:num>
  <w:num w:numId="11">
    <w:abstractNumId w:val="15"/>
  </w:num>
  <w:num w:numId="12">
    <w:abstractNumId w:val="40"/>
  </w:num>
  <w:num w:numId="13">
    <w:abstractNumId w:val="41"/>
  </w:num>
  <w:num w:numId="14">
    <w:abstractNumId w:val="22"/>
  </w:num>
  <w:num w:numId="15">
    <w:abstractNumId w:val="28"/>
  </w:num>
  <w:num w:numId="16">
    <w:abstractNumId w:val="19"/>
  </w:num>
  <w:num w:numId="17">
    <w:abstractNumId w:val="9"/>
  </w:num>
  <w:num w:numId="18">
    <w:abstractNumId w:val="24"/>
  </w:num>
  <w:num w:numId="19">
    <w:abstractNumId w:val="1"/>
  </w:num>
  <w:num w:numId="20">
    <w:abstractNumId w:val="21"/>
  </w:num>
  <w:num w:numId="21">
    <w:abstractNumId w:val="5"/>
  </w:num>
  <w:num w:numId="22">
    <w:abstractNumId w:val="2"/>
  </w:num>
  <w:num w:numId="23">
    <w:abstractNumId w:val="17"/>
  </w:num>
  <w:num w:numId="24">
    <w:abstractNumId w:val="31"/>
  </w:num>
  <w:num w:numId="25">
    <w:abstractNumId w:val="34"/>
  </w:num>
  <w:num w:numId="26">
    <w:abstractNumId w:val="4"/>
  </w:num>
  <w:num w:numId="27">
    <w:abstractNumId w:val="38"/>
  </w:num>
  <w:num w:numId="28">
    <w:abstractNumId w:val="42"/>
  </w:num>
  <w:num w:numId="29">
    <w:abstractNumId w:val="33"/>
  </w:num>
  <w:num w:numId="30">
    <w:abstractNumId w:val="6"/>
  </w:num>
  <w:num w:numId="31">
    <w:abstractNumId w:val="13"/>
  </w:num>
  <w:num w:numId="32">
    <w:abstractNumId w:val="14"/>
  </w:num>
  <w:num w:numId="33">
    <w:abstractNumId w:val="23"/>
  </w:num>
  <w:num w:numId="34">
    <w:abstractNumId w:val="8"/>
  </w:num>
  <w:num w:numId="35">
    <w:abstractNumId w:val="20"/>
  </w:num>
  <w:num w:numId="36">
    <w:abstractNumId w:val="30"/>
  </w:num>
  <w:num w:numId="37">
    <w:abstractNumId w:val="11"/>
  </w:num>
  <w:num w:numId="38">
    <w:abstractNumId w:val="18"/>
  </w:num>
  <w:num w:numId="39">
    <w:abstractNumId w:val="12"/>
  </w:num>
  <w:num w:numId="40">
    <w:abstractNumId w:val="44"/>
  </w:num>
  <w:num w:numId="41">
    <w:abstractNumId w:val="37"/>
  </w:num>
  <w:num w:numId="42">
    <w:abstractNumId w:val="25"/>
  </w:num>
  <w:num w:numId="43">
    <w:abstractNumId w:val="26"/>
  </w:num>
  <w:num w:numId="44">
    <w:abstractNumId w:val="43"/>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A3C"/>
    <w:rsid w:val="0000674A"/>
    <w:rsid w:val="00012400"/>
    <w:rsid w:val="00022AEC"/>
    <w:rsid w:val="0004276C"/>
    <w:rsid w:val="0004526C"/>
    <w:rsid w:val="000532D2"/>
    <w:rsid w:val="00071D13"/>
    <w:rsid w:val="0007771F"/>
    <w:rsid w:val="000C109E"/>
    <w:rsid w:val="000C1DF1"/>
    <w:rsid w:val="000E0BAD"/>
    <w:rsid w:val="000F667D"/>
    <w:rsid w:val="0013146A"/>
    <w:rsid w:val="001355B1"/>
    <w:rsid w:val="001751C1"/>
    <w:rsid w:val="001760A2"/>
    <w:rsid w:val="00176F55"/>
    <w:rsid w:val="00182CE2"/>
    <w:rsid w:val="00183572"/>
    <w:rsid w:val="001A0585"/>
    <w:rsid w:val="001D6360"/>
    <w:rsid w:val="001D7C4C"/>
    <w:rsid w:val="001E4C56"/>
    <w:rsid w:val="001E56A4"/>
    <w:rsid w:val="001E7362"/>
    <w:rsid w:val="001F6B76"/>
    <w:rsid w:val="00206F87"/>
    <w:rsid w:val="002126FE"/>
    <w:rsid w:val="00215C99"/>
    <w:rsid w:val="00231A07"/>
    <w:rsid w:val="00235DE8"/>
    <w:rsid w:val="00242415"/>
    <w:rsid w:val="00243A3C"/>
    <w:rsid w:val="00244A16"/>
    <w:rsid w:val="00272E89"/>
    <w:rsid w:val="0027789D"/>
    <w:rsid w:val="002941C9"/>
    <w:rsid w:val="00294FC4"/>
    <w:rsid w:val="00297D8A"/>
    <w:rsid w:val="002A62FA"/>
    <w:rsid w:val="002C0F6B"/>
    <w:rsid w:val="002C1575"/>
    <w:rsid w:val="002D36A5"/>
    <w:rsid w:val="002D41D0"/>
    <w:rsid w:val="002F64BE"/>
    <w:rsid w:val="00311FCD"/>
    <w:rsid w:val="0031361E"/>
    <w:rsid w:val="00314093"/>
    <w:rsid w:val="00314B73"/>
    <w:rsid w:val="003250CE"/>
    <w:rsid w:val="003303E9"/>
    <w:rsid w:val="00345FA0"/>
    <w:rsid w:val="00347ED2"/>
    <w:rsid w:val="003508D7"/>
    <w:rsid w:val="00360341"/>
    <w:rsid w:val="00360793"/>
    <w:rsid w:val="00364662"/>
    <w:rsid w:val="00373B9B"/>
    <w:rsid w:val="003740AF"/>
    <w:rsid w:val="003776E5"/>
    <w:rsid w:val="003905CF"/>
    <w:rsid w:val="00394583"/>
    <w:rsid w:val="003B4395"/>
    <w:rsid w:val="003B48DE"/>
    <w:rsid w:val="003B7964"/>
    <w:rsid w:val="003D5A29"/>
    <w:rsid w:val="00404650"/>
    <w:rsid w:val="004145AA"/>
    <w:rsid w:val="00416F91"/>
    <w:rsid w:val="004279AA"/>
    <w:rsid w:val="00433AF4"/>
    <w:rsid w:val="00436193"/>
    <w:rsid w:val="00461017"/>
    <w:rsid w:val="004675D3"/>
    <w:rsid w:val="00494F1B"/>
    <w:rsid w:val="004D1A14"/>
    <w:rsid w:val="00515B0A"/>
    <w:rsid w:val="0053159C"/>
    <w:rsid w:val="005429BB"/>
    <w:rsid w:val="00564CEF"/>
    <w:rsid w:val="00571DA9"/>
    <w:rsid w:val="00576C69"/>
    <w:rsid w:val="005771CD"/>
    <w:rsid w:val="00583DC5"/>
    <w:rsid w:val="005860C5"/>
    <w:rsid w:val="005A4028"/>
    <w:rsid w:val="005D36AA"/>
    <w:rsid w:val="005E2942"/>
    <w:rsid w:val="00601256"/>
    <w:rsid w:val="006037CF"/>
    <w:rsid w:val="00621B4D"/>
    <w:rsid w:val="00626F14"/>
    <w:rsid w:val="00630583"/>
    <w:rsid w:val="006437E1"/>
    <w:rsid w:val="006615E1"/>
    <w:rsid w:val="006629ED"/>
    <w:rsid w:val="0066615E"/>
    <w:rsid w:val="00691F99"/>
    <w:rsid w:val="006C488C"/>
    <w:rsid w:val="006F1992"/>
    <w:rsid w:val="0071395E"/>
    <w:rsid w:val="00715C69"/>
    <w:rsid w:val="0072625A"/>
    <w:rsid w:val="00732D54"/>
    <w:rsid w:val="00736F53"/>
    <w:rsid w:val="0074789E"/>
    <w:rsid w:val="0075108F"/>
    <w:rsid w:val="007B0BC4"/>
    <w:rsid w:val="007B1428"/>
    <w:rsid w:val="007B162F"/>
    <w:rsid w:val="007B3BB2"/>
    <w:rsid w:val="007C09E9"/>
    <w:rsid w:val="007C56A0"/>
    <w:rsid w:val="007D3040"/>
    <w:rsid w:val="007D5762"/>
    <w:rsid w:val="007F3B3C"/>
    <w:rsid w:val="0083287D"/>
    <w:rsid w:val="00833224"/>
    <w:rsid w:val="0086633F"/>
    <w:rsid w:val="008721FF"/>
    <w:rsid w:val="00886775"/>
    <w:rsid w:val="008A04E1"/>
    <w:rsid w:val="008B376E"/>
    <w:rsid w:val="008B52D3"/>
    <w:rsid w:val="008C11A6"/>
    <w:rsid w:val="008C5F6E"/>
    <w:rsid w:val="008E56E0"/>
    <w:rsid w:val="008F2ED5"/>
    <w:rsid w:val="009119CF"/>
    <w:rsid w:val="00921F70"/>
    <w:rsid w:val="00931AE8"/>
    <w:rsid w:val="009370CB"/>
    <w:rsid w:val="009429DE"/>
    <w:rsid w:val="009461AA"/>
    <w:rsid w:val="009476D5"/>
    <w:rsid w:val="00956FDC"/>
    <w:rsid w:val="0096456B"/>
    <w:rsid w:val="0099032A"/>
    <w:rsid w:val="009A4BA6"/>
    <w:rsid w:val="009B2BCF"/>
    <w:rsid w:val="009D25F7"/>
    <w:rsid w:val="009D4BA6"/>
    <w:rsid w:val="009E10F5"/>
    <w:rsid w:val="009E6A25"/>
    <w:rsid w:val="00A3273B"/>
    <w:rsid w:val="00A4125E"/>
    <w:rsid w:val="00A45A75"/>
    <w:rsid w:val="00A73443"/>
    <w:rsid w:val="00A87596"/>
    <w:rsid w:val="00A93E53"/>
    <w:rsid w:val="00AA1BB3"/>
    <w:rsid w:val="00AA6B7E"/>
    <w:rsid w:val="00AB45BC"/>
    <w:rsid w:val="00AC50E6"/>
    <w:rsid w:val="00AC752E"/>
    <w:rsid w:val="00AF7596"/>
    <w:rsid w:val="00B048E1"/>
    <w:rsid w:val="00B04E26"/>
    <w:rsid w:val="00B06BB1"/>
    <w:rsid w:val="00B11A07"/>
    <w:rsid w:val="00B125F1"/>
    <w:rsid w:val="00B211BE"/>
    <w:rsid w:val="00B5026A"/>
    <w:rsid w:val="00B60667"/>
    <w:rsid w:val="00B73299"/>
    <w:rsid w:val="00B844A6"/>
    <w:rsid w:val="00BC1CF3"/>
    <w:rsid w:val="00BD69D2"/>
    <w:rsid w:val="00BD7718"/>
    <w:rsid w:val="00BE1D3D"/>
    <w:rsid w:val="00BF2128"/>
    <w:rsid w:val="00BF3AD7"/>
    <w:rsid w:val="00C00DEE"/>
    <w:rsid w:val="00C037D8"/>
    <w:rsid w:val="00C03CF9"/>
    <w:rsid w:val="00C066EA"/>
    <w:rsid w:val="00C066F9"/>
    <w:rsid w:val="00C14AE5"/>
    <w:rsid w:val="00C30BDE"/>
    <w:rsid w:val="00C3262F"/>
    <w:rsid w:val="00C42A2A"/>
    <w:rsid w:val="00C50635"/>
    <w:rsid w:val="00C53305"/>
    <w:rsid w:val="00C72E8A"/>
    <w:rsid w:val="00C8683A"/>
    <w:rsid w:val="00C94206"/>
    <w:rsid w:val="00C9676F"/>
    <w:rsid w:val="00CB2214"/>
    <w:rsid w:val="00CB7AC8"/>
    <w:rsid w:val="00CD3595"/>
    <w:rsid w:val="00CD4720"/>
    <w:rsid w:val="00CD5239"/>
    <w:rsid w:val="00CD5AAD"/>
    <w:rsid w:val="00CD70C3"/>
    <w:rsid w:val="00CE23B7"/>
    <w:rsid w:val="00D03A80"/>
    <w:rsid w:val="00D177F1"/>
    <w:rsid w:val="00D17ADC"/>
    <w:rsid w:val="00D21E9C"/>
    <w:rsid w:val="00D2371A"/>
    <w:rsid w:val="00D239C9"/>
    <w:rsid w:val="00D24C26"/>
    <w:rsid w:val="00D47252"/>
    <w:rsid w:val="00D84CC8"/>
    <w:rsid w:val="00D86DCD"/>
    <w:rsid w:val="00D9426B"/>
    <w:rsid w:val="00DB163C"/>
    <w:rsid w:val="00DB1A49"/>
    <w:rsid w:val="00DC4D9A"/>
    <w:rsid w:val="00DD33AC"/>
    <w:rsid w:val="00DE1B1A"/>
    <w:rsid w:val="00DF358C"/>
    <w:rsid w:val="00E02861"/>
    <w:rsid w:val="00E04CAF"/>
    <w:rsid w:val="00E35F8E"/>
    <w:rsid w:val="00E6320A"/>
    <w:rsid w:val="00E632DF"/>
    <w:rsid w:val="00E674A5"/>
    <w:rsid w:val="00E84A6F"/>
    <w:rsid w:val="00E9444D"/>
    <w:rsid w:val="00EC6C4C"/>
    <w:rsid w:val="00ED2EEC"/>
    <w:rsid w:val="00EF0BD8"/>
    <w:rsid w:val="00EF5642"/>
    <w:rsid w:val="00F00EB0"/>
    <w:rsid w:val="00F17ABA"/>
    <w:rsid w:val="00F224CE"/>
    <w:rsid w:val="00F57804"/>
    <w:rsid w:val="00F6218A"/>
    <w:rsid w:val="00F76E5E"/>
    <w:rsid w:val="00F7777B"/>
    <w:rsid w:val="00F81CCD"/>
    <w:rsid w:val="00F910B4"/>
    <w:rsid w:val="00FA6E6D"/>
    <w:rsid w:val="00FB011F"/>
    <w:rsid w:val="00FB3863"/>
    <w:rsid w:val="00FB4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7C69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F14"/>
    <w:pPr>
      <w:spacing w:line="288" w:lineRule="auto"/>
      <w:jc w:val="both"/>
    </w:pPr>
    <w:rPr>
      <w:rFonts w:ascii="Helvetica" w:eastAsiaTheme="minorEastAsia" w:hAnsi="Helvetica"/>
      <w:sz w:val="20"/>
      <w:lang w:val="en-GB"/>
    </w:rPr>
  </w:style>
  <w:style w:type="paragraph" w:styleId="Heading1">
    <w:name w:val="heading 1"/>
    <w:basedOn w:val="Normal"/>
    <w:next w:val="Normal"/>
    <w:link w:val="Heading1Char"/>
    <w:uiPriority w:val="9"/>
    <w:qFormat/>
    <w:rsid w:val="00626F14"/>
    <w:pPr>
      <w:keepNext/>
      <w:keepLines/>
      <w:numPr>
        <w:numId w:val="1"/>
      </w:numPr>
      <w:spacing w:after="360"/>
      <w:outlineLvl w:val="0"/>
    </w:pPr>
    <w:rPr>
      <w:rFonts w:eastAsiaTheme="majorEastAsia" w:cstheme="majorBidi"/>
      <w:color w:val="5B9BD5" w:themeColor="accent1"/>
      <w:sz w:val="32"/>
      <w:szCs w:val="32"/>
    </w:rPr>
  </w:style>
  <w:style w:type="paragraph" w:styleId="Heading2">
    <w:name w:val="heading 2"/>
    <w:basedOn w:val="Normal"/>
    <w:next w:val="Normal"/>
    <w:link w:val="Heading2Char"/>
    <w:uiPriority w:val="9"/>
    <w:qFormat/>
    <w:rsid w:val="00626F14"/>
    <w:pPr>
      <w:keepNext/>
      <w:keepLines/>
      <w:numPr>
        <w:ilvl w:val="1"/>
        <w:numId w:val="1"/>
      </w:numPr>
      <w:spacing w:before="240" w:after="240"/>
      <w:ind w:left="576"/>
      <w:outlineLvl w:val="1"/>
    </w:pPr>
    <w:rPr>
      <w:rFonts w:eastAsiaTheme="majorEastAsia" w:cstheme="majorBidi"/>
      <w:color w:val="44546A" w:themeColor="text2"/>
      <w:sz w:val="26"/>
      <w:szCs w:val="26"/>
    </w:rPr>
  </w:style>
  <w:style w:type="paragraph" w:styleId="Heading3">
    <w:name w:val="heading 3"/>
    <w:basedOn w:val="Normal"/>
    <w:next w:val="Normal"/>
    <w:link w:val="Heading3Char"/>
    <w:uiPriority w:val="9"/>
    <w:qFormat/>
    <w:rsid w:val="00626F14"/>
    <w:pPr>
      <w:keepNext/>
      <w:keepLines/>
      <w:numPr>
        <w:ilvl w:val="2"/>
        <w:numId w:val="1"/>
      </w:numPr>
      <w:spacing w:before="160"/>
      <w:outlineLvl w:val="2"/>
    </w:pPr>
    <w:rPr>
      <w:rFonts w:eastAsiaTheme="majorEastAsia" w:cstheme="majorBidi"/>
      <w:color w:val="44546A" w:themeColor="text2"/>
      <w:sz w:val="24"/>
      <w:szCs w:val="24"/>
    </w:rPr>
  </w:style>
  <w:style w:type="paragraph" w:styleId="Heading4">
    <w:name w:val="heading 4"/>
    <w:basedOn w:val="Normal"/>
    <w:next w:val="Normal"/>
    <w:link w:val="Heading4Char"/>
    <w:uiPriority w:val="9"/>
    <w:qFormat/>
    <w:rsid w:val="00626F14"/>
    <w:pPr>
      <w:keepNext/>
      <w:keepLines/>
      <w:numPr>
        <w:ilvl w:val="3"/>
        <w:numId w:val="1"/>
      </w:numPr>
      <w:spacing w:before="160" w:after="120"/>
      <w:outlineLvl w:val="3"/>
    </w:pPr>
    <w:rPr>
      <w:rFonts w:eastAsiaTheme="majorEastAsia" w:cstheme="majorBidi"/>
      <w:iCs/>
      <w:color w:val="44546A" w:themeColor="text2"/>
    </w:rPr>
  </w:style>
  <w:style w:type="paragraph" w:styleId="Heading5">
    <w:name w:val="heading 5"/>
    <w:basedOn w:val="Normal"/>
    <w:next w:val="Normal"/>
    <w:link w:val="Heading5Char"/>
    <w:uiPriority w:val="9"/>
    <w:qFormat/>
    <w:rsid w:val="00626F14"/>
    <w:pPr>
      <w:keepNext/>
      <w:keepLines/>
      <w:numPr>
        <w:ilvl w:val="4"/>
        <w:numId w:val="1"/>
      </w:numPr>
      <w:spacing w:before="240" w:after="120"/>
      <w:outlineLvl w:val="4"/>
    </w:pPr>
    <w:rPr>
      <w:rFonts w:eastAsiaTheme="majorEastAsia" w:cstheme="majorBidi"/>
      <w:color w:val="44546A" w:themeColor="text2"/>
    </w:rPr>
  </w:style>
  <w:style w:type="paragraph" w:styleId="Heading6">
    <w:name w:val="heading 6"/>
    <w:aliases w:val="Heading No Number"/>
    <w:basedOn w:val="Normal"/>
    <w:next w:val="Normal"/>
    <w:link w:val="Heading6Char"/>
    <w:uiPriority w:val="9"/>
    <w:rsid w:val="00626F14"/>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aliases w:val="Heading 5_NEW"/>
    <w:basedOn w:val="Normal"/>
    <w:next w:val="Normal"/>
    <w:link w:val="Heading7Char"/>
    <w:uiPriority w:val="9"/>
    <w:unhideWhenUsed/>
    <w:qFormat/>
    <w:rsid w:val="00626F14"/>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626F1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6F1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1">
    <w:name w:val="Grid Table 4 Accent 1"/>
    <w:basedOn w:val="TableNormal"/>
    <w:uiPriority w:val="49"/>
    <w:rsid w:val="00FB386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CommentReference">
    <w:name w:val="annotation reference"/>
    <w:basedOn w:val="DefaultParagraphFont"/>
    <w:uiPriority w:val="99"/>
    <w:semiHidden/>
    <w:unhideWhenUsed/>
    <w:rsid w:val="00FB3863"/>
    <w:rPr>
      <w:sz w:val="16"/>
      <w:szCs w:val="16"/>
    </w:rPr>
  </w:style>
  <w:style w:type="paragraph" w:styleId="CommentText">
    <w:name w:val="annotation text"/>
    <w:basedOn w:val="Normal"/>
    <w:link w:val="CommentTextChar"/>
    <w:uiPriority w:val="99"/>
    <w:unhideWhenUsed/>
    <w:rsid w:val="00FB3863"/>
    <w:pPr>
      <w:spacing w:line="240" w:lineRule="auto"/>
    </w:pPr>
    <w:rPr>
      <w:szCs w:val="20"/>
    </w:rPr>
  </w:style>
  <w:style w:type="character" w:customStyle="1" w:styleId="CommentTextChar">
    <w:name w:val="Comment Text Char"/>
    <w:basedOn w:val="DefaultParagraphFont"/>
    <w:link w:val="CommentText"/>
    <w:uiPriority w:val="99"/>
    <w:rsid w:val="00FB3863"/>
    <w:rPr>
      <w:rFonts w:ascii="Helvetica" w:eastAsiaTheme="minorEastAsia" w:hAnsi="Helvetica"/>
      <w:sz w:val="20"/>
      <w:szCs w:val="20"/>
      <w:lang w:val="en-GB"/>
    </w:rPr>
  </w:style>
  <w:style w:type="paragraph" w:styleId="BalloonText">
    <w:name w:val="Balloon Text"/>
    <w:basedOn w:val="Normal"/>
    <w:link w:val="BalloonTextChar"/>
    <w:uiPriority w:val="99"/>
    <w:semiHidden/>
    <w:unhideWhenUsed/>
    <w:rsid w:val="00FB38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863"/>
    <w:rPr>
      <w:rFonts w:ascii="Segoe UI" w:hAnsi="Segoe UI" w:cs="Segoe UI"/>
      <w:sz w:val="18"/>
      <w:szCs w:val="18"/>
    </w:rPr>
  </w:style>
  <w:style w:type="character" w:customStyle="1" w:styleId="Heading1Char">
    <w:name w:val="Heading 1 Char"/>
    <w:basedOn w:val="DefaultParagraphFont"/>
    <w:link w:val="Heading1"/>
    <w:uiPriority w:val="9"/>
    <w:rsid w:val="00626F14"/>
    <w:rPr>
      <w:rFonts w:ascii="Helvetica" w:eastAsiaTheme="majorEastAsia" w:hAnsi="Helvetica" w:cstheme="majorBidi"/>
      <w:color w:val="5B9BD5" w:themeColor="accent1"/>
      <w:sz w:val="32"/>
      <w:szCs w:val="32"/>
      <w:lang w:val="en-GB"/>
    </w:rPr>
  </w:style>
  <w:style w:type="character" w:customStyle="1" w:styleId="Heading2Char">
    <w:name w:val="Heading 2 Char"/>
    <w:basedOn w:val="DefaultParagraphFont"/>
    <w:link w:val="Heading2"/>
    <w:uiPriority w:val="9"/>
    <w:rsid w:val="00626F14"/>
    <w:rPr>
      <w:rFonts w:ascii="Helvetica" w:eastAsiaTheme="majorEastAsia" w:hAnsi="Helvetica" w:cstheme="majorBidi"/>
      <w:color w:val="44546A" w:themeColor="text2"/>
      <w:sz w:val="26"/>
      <w:szCs w:val="26"/>
      <w:lang w:val="en-GB"/>
    </w:rPr>
  </w:style>
  <w:style w:type="character" w:customStyle="1" w:styleId="Heading3Char">
    <w:name w:val="Heading 3 Char"/>
    <w:basedOn w:val="DefaultParagraphFont"/>
    <w:link w:val="Heading3"/>
    <w:uiPriority w:val="9"/>
    <w:rsid w:val="00626F14"/>
    <w:rPr>
      <w:rFonts w:ascii="Helvetica" w:eastAsiaTheme="majorEastAsia" w:hAnsi="Helvetica" w:cstheme="majorBidi"/>
      <w:color w:val="44546A" w:themeColor="text2"/>
      <w:sz w:val="24"/>
      <w:szCs w:val="24"/>
      <w:lang w:val="en-GB"/>
    </w:rPr>
  </w:style>
  <w:style w:type="character" w:customStyle="1" w:styleId="Heading4Char">
    <w:name w:val="Heading 4 Char"/>
    <w:basedOn w:val="DefaultParagraphFont"/>
    <w:link w:val="Heading4"/>
    <w:uiPriority w:val="9"/>
    <w:rsid w:val="00626F14"/>
    <w:rPr>
      <w:rFonts w:ascii="Helvetica" w:eastAsiaTheme="majorEastAsia" w:hAnsi="Helvetica" w:cstheme="majorBidi"/>
      <w:iCs/>
      <w:color w:val="44546A" w:themeColor="text2"/>
      <w:sz w:val="20"/>
      <w:lang w:val="en-GB"/>
    </w:rPr>
  </w:style>
  <w:style w:type="character" w:customStyle="1" w:styleId="Heading5Char">
    <w:name w:val="Heading 5 Char"/>
    <w:basedOn w:val="DefaultParagraphFont"/>
    <w:link w:val="Heading5"/>
    <w:uiPriority w:val="9"/>
    <w:rsid w:val="00626F14"/>
    <w:rPr>
      <w:rFonts w:ascii="Helvetica" w:eastAsiaTheme="majorEastAsia" w:hAnsi="Helvetica" w:cstheme="majorBidi"/>
      <w:color w:val="44546A" w:themeColor="text2"/>
      <w:sz w:val="20"/>
      <w:lang w:val="en-GB"/>
    </w:rPr>
  </w:style>
  <w:style w:type="character" w:customStyle="1" w:styleId="Heading6Char">
    <w:name w:val="Heading 6 Char"/>
    <w:aliases w:val="Heading No Number Char"/>
    <w:basedOn w:val="DefaultParagraphFont"/>
    <w:link w:val="Heading6"/>
    <w:uiPriority w:val="9"/>
    <w:rsid w:val="00626F14"/>
    <w:rPr>
      <w:rFonts w:asciiTheme="majorHAnsi" w:eastAsiaTheme="majorEastAsia" w:hAnsiTheme="majorHAnsi" w:cstheme="majorBidi"/>
      <w:color w:val="1F4D78" w:themeColor="accent1" w:themeShade="7F"/>
      <w:sz w:val="20"/>
      <w:lang w:val="en-GB"/>
    </w:rPr>
  </w:style>
  <w:style w:type="character" w:customStyle="1" w:styleId="Heading7Char">
    <w:name w:val="Heading 7 Char"/>
    <w:aliases w:val="Heading 5_NEW Char"/>
    <w:basedOn w:val="DefaultParagraphFont"/>
    <w:link w:val="Heading7"/>
    <w:uiPriority w:val="9"/>
    <w:rsid w:val="00626F14"/>
    <w:rPr>
      <w:rFonts w:asciiTheme="majorHAnsi" w:eastAsiaTheme="majorEastAsia" w:hAnsiTheme="majorHAnsi" w:cstheme="majorBidi"/>
      <w:i/>
      <w:iCs/>
      <w:color w:val="1F4D78" w:themeColor="accent1" w:themeShade="7F"/>
      <w:sz w:val="20"/>
      <w:lang w:val="en-GB"/>
    </w:rPr>
  </w:style>
  <w:style w:type="character" w:customStyle="1" w:styleId="Heading8Char">
    <w:name w:val="Heading 8 Char"/>
    <w:basedOn w:val="DefaultParagraphFont"/>
    <w:link w:val="Heading8"/>
    <w:uiPriority w:val="9"/>
    <w:semiHidden/>
    <w:rsid w:val="00626F14"/>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26F14"/>
    <w:rPr>
      <w:rFonts w:asciiTheme="majorHAnsi" w:eastAsiaTheme="majorEastAsia" w:hAnsiTheme="majorHAnsi" w:cstheme="majorBidi"/>
      <w:i/>
      <w:iCs/>
      <w:color w:val="272727" w:themeColor="text1" w:themeTint="D8"/>
      <w:sz w:val="21"/>
      <w:szCs w:val="21"/>
      <w:lang w:val="en-GB"/>
    </w:rPr>
  </w:style>
  <w:style w:type="paragraph" w:customStyle="1" w:styleId="HeadingforTableofContents">
    <w:name w:val="Heading for Table of Contents"/>
    <w:basedOn w:val="Heading1"/>
    <w:next w:val="Normal"/>
    <w:qFormat/>
    <w:rsid w:val="00626F14"/>
    <w:pPr>
      <w:numPr>
        <w:numId w:val="0"/>
      </w:numPr>
      <w:spacing w:before="240"/>
    </w:pPr>
  </w:style>
  <w:style w:type="paragraph" w:styleId="Caption">
    <w:name w:val="caption"/>
    <w:aliases w:val="Caption for figures or tables"/>
    <w:basedOn w:val="Normal"/>
    <w:next w:val="Normal"/>
    <w:uiPriority w:val="35"/>
    <w:unhideWhenUsed/>
    <w:qFormat/>
    <w:rsid w:val="00626F14"/>
    <w:pPr>
      <w:keepLines/>
      <w:spacing w:before="120" w:after="200" w:line="240" w:lineRule="auto"/>
      <w:jc w:val="left"/>
    </w:pPr>
    <w:rPr>
      <w:iCs/>
      <w:color w:val="44546A" w:themeColor="text2"/>
      <w:szCs w:val="18"/>
    </w:rPr>
  </w:style>
  <w:style w:type="paragraph" w:styleId="FootnoteText">
    <w:name w:val="footnote text"/>
    <w:basedOn w:val="Normal"/>
    <w:link w:val="FootnoteTextChar"/>
    <w:autoRedefine/>
    <w:uiPriority w:val="99"/>
    <w:qFormat/>
    <w:rsid w:val="00626F14"/>
    <w:pPr>
      <w:spacing w:after="0" w:line="240" w:lineRule="auto"/>
    </w:pPr>
    <w:rPr>
      <w:color w:val="44546A" w:themeColor="text2"/>
      <w:sz w:val="18"/>
      <w:szCs w:val="20"/>
    </w:rPr>
  </w:style>
  <w:style w:type="character" w:customStyle="1" w:styleId="FootnoteTextChar">
    <w:name w:val="Footnote Text Char"/>
    <w:basedOn w:val="DefaultParagraphFont"/>
    <w:link w:val="FootnoteText"/>
    <w:uiPriority w:val="99"/>
    <w:rsid w:val="00626F14"/>
    <w:rPr>
      <w:rFonts w:ascii="Helvetica" w:eastAsiaTheme="minorEastAsia" w:hAnsi="Helvetica"/>
      <w:color w:val="44546A" w:themeColor="text2"/>
      <w:sz w:val="18"/>
      <w:szCs w:val="20"/>
      <w:lang w:val="en-GB"/>
    </w:rPr>
  </w:style>
  <w:style w:type="character" w:styleId="FootnoteReference">
    <w:name w:val="footnote reference"/>
    <w:basedOn w:val="DefaultParagraphFont"/>
    <w:uiPriority w:val="99"/>
    <w:unhideWhenUsed/>
    <w:rsid w:val="00626F14"/>
    <w:rPr>
      <w:vertAlign w:val="superscript"/>
    </w:rPr>
  </w:style>
  <w:style w:type="paragraph" w:styleId="ListParagraph">
    <w:name w:val="List Paragraph"/>
    <w:aliases w:val="List Paragraph1"/>
    <w:basedOn w:val="Normal"/>
    <w:link w:val="ListParagraphChar"/>
    <w:uiPriority w:val="34"/>
    <w:qFormat/>
    <w:rsid w:val="00626F14"/>
    <w:pPr>
      <w:ind w:left="720"/>
      <w:contextualSpacing/>
    </w:pPr>
  </w:style>
  <w:style w:type="character" w:customStyle="1" w:styleId="ListParagraphChar">
    <w:name w:val="List Paragraph Char"/>
    <w:aliases w:val="List Paragraph1 Char"/>
    <w:basedOn w:val="DefaultParagraphFont"/>
    <w:link w:val="ListParagraph"/>
    <w:uiPriority w:val="34"/>
    <w:locked/>
    <w:rsid w:val="00626F14"/>
    <w:rPr>
      <w:rFonts w:ascii="Helvetica" w:eastAsiaTheme="minorEastAsia" w:hAnsi="Helvetica"/>
      <w:sz w:val="20"/>
      <w:lang w:val="en-GB"/>
    </w:rPr>
  </w:style>
  <w:style w:type="table" w:customStyle="1" w:styleId="NewClimateTableOrange">
    <w:name w:val="NewClimate_TableOrange"/>
    <w:basedOn w:val="TableNormal"/>
    <w:uiPriority w:val="99"/>
    <w:rsid w:val="00626F14"/>
    <w:pPr>
      <w:spacing w:after="0" w:line="240" w:lineRule="auto"/>
    </w:pPr>
    <w:rPr>
      <w:rFonts w:ascii="Arial" w:hAnsi="Arial"/>
      <w:sz w:val="20"/>
      <w:lang w:val="de-DE"/>
    </w:rPr>
    <w:tblPr>
      <w:tblStyleRowBandSize w:val="1"/>
      <w:tblStyleColBandSize w:val="1"/>
      <w:tblBorders>
        <w:top w:val="single" w:sz="4" w:space="0" w:color="5B9BD5" w:themeColor="accent1"/>
        <w:bottom w:val="single" w:sz="4" w:space="0" w:color="5B9BD5" w:themeColor="accent1"/>
        <w:insideV w:val="single" w:sz="4" w:space="0" w:color="5B9BD5" w:themeColor="accent1"/>
      </w:tblBorders>
    </w:tblPr>
    <w:tblStylePr w:type="firstRow">
      <w:rPr>
        <w:b/>
      </w:rPr>
      <w:tblPr/>
      <w:tcPr>
        <w:tcBorders>
          <w:bottom w:val="single" w:sz="4" w:space="0" w:color="5B9BD5" w:themeColor="accent1"/>
        </w:tcBorders>
      </w:tcPr>
    </w:tblStylePr>
    <w:tblStylePr w:type="lastRow">
      <w:rPr>
        <w:b/>
      </w:rPr>
      <w:tblPr/>
      <w:tcPr>
        <w:tcBorders>
          <w:top w:val="double" w:sz="4" w:space="0" w:color="5B9BD5" w:themeColor="accent1"/>
        </w:tcBorders>
      </w:tcPr>
    </w:tblStylePr>
    <w:tblStylePr w:type="firstCol">
      <w:rPr>
        <w:b/>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626F14"/>
    <w:pPr>
      <w:tabs>
        <w:tab w:val="center" w:pos="4703"/>
        <w:tab w:val="right" w:pos="9406"/>
      </w:tabs>
      <w:spacing w:after="0" w:line="240" w:lineRule="auto"/>
    </w:pPr>
  </w:style>
  <w:style w:type="character" w:customStyle="1" w:styleId="HeaderChar">
    <w:name w:val="Header Char"/>
    <w:basedOn w:val="DefaultParagraphFont"/>
    <w:link w:val="Header"/>
    <w:uiPriority w:val="99"/>
    <w:rsid w:val="00626F14"/>
    <w:rPr>
      <w:rFonts w:ascii="Helvetica" w:eastAsiaTheme="minorEastAsia" w:hAnsi="Helvetica"/>
      <w:sz w:val="20"/>
      <w:lang w:val="en-GB"/>
    </w:rPr>
  </w:style>
  <w:style w:type="paragraph" w:styleId="Footer">
    <w:name w:val="footer"/>
    <w:basedOn w:val="Normal"/>
    <w:link w:val="FooterChar"/>
    <w:uiPriority w:val="99"/>
    <w:unhideWhenUsed/>
    <w:qFormat/>
    <w:rsid w:val="00626F14"/>
    <w:pPr>
      <w:tabs>
        <w:tab w:val="center" w:pos="4703"/>
        <w:tab w:val="right" w:pos="9406"/>
      </w:tabs>
      <w:spacing w:after="0" w:line="240" w:lineRule="auto"/>
    </w:pPr>
  </w:style>
  <w:style w:type="character" w:customStyle="1" w:styleId="FooterChar">
    <w:name w:val="Footer Char"/>
    <w:basedOn w:val="DefaultParagraphFont"/>
    <w:link w:val="Footer"/>
    <w:uiPriority w:val="99"/>
    <w:rsid w:val="00626F14"/>
    <w:rPr>
      <w:rFonts w:ascii="Helvetica" w:eastAsiaTheme="minorEastAsia" w:hAnsi="Helvetica"/>
      <w:sz w:val="20"/>
      <w:lang w:val="en-GB"/>
    </w:rPr>
  </w:style>
  <w:style w:type="character" w:styleId="Hyperlink">
    <w:name w:val="Hyperlink"/>
    <w:basedOn w:val="DefaultParagraphFont"/>
    <w:uiPriority w:val="99"/>
    <w:unhideWhenUsed/>
    <w:qFormat/>
    <w:rsid w:val="00601256"/>
    <w:rPr>
      <w:color w:val="E75113"/>
      <w:u w:val="single"/>
    </w:rPr>
  </w:style>
  <w:style w:type="table" w:styleId="TableGrid">
    <w:name w:val="Table Grid"/>
    <w:basedOn w:val="TableNormal"/>
    <w:uiPriority w:val="39"/>
    <w:rsid w:val="00601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01256"/>
    <w:rPr>
      <w:color w:val="605E5C"/>
      <w:shd w:val="clear" w:color="auto" w:fill="E1DFDD"/>
    </w:rPr>
  </w:style>
  <w:style w:type="paragraph" w:customStyle="1" w:styleId="Emphasis1">
    <w:name w:val="Emphasis1"/>
    <w:basedOn w:val="Normal"/>
    <w:next w:val="Normal"/>
    <w:link w:val="Emphasis1Char"/>
    <w:qFormat/>
    <w:rsid w:val="00601256"/>
    <w:rPr>
      <w:rFonts w:ascii="Arial" w:eastAsiaTheme="minorHAnsi" w:hAnsi="Arial"/>
      <w:b/>
      <w:color w:val="5B9BD5" w:themeColor="accent1"/>
    </w:rPr>
  </w:style>
  <w:style w:type="character" w:customStyle="1" w:styleId="Emphasis1Char">
    <w:name w:val="Emphasis1 Char"/>
    <w:basedOn w:val="DefaultParagraphFont"/>
    <w:link w:val="Emphasis1"/>
    <w:rsid w:val="00601256"/>
    <w:rPr>
      <w:rFonts w:ascii="Arial" w:hAnsi="Arial"/>
      <w:b/>
      <w:color w:val="5B9BD5" w:themeColor="accent1"/>
      <w:sz w:val="20"/>
      <w:lang w:val="en-GB"/>
    </w:rPr>
  </w:style>
  <w:style w:type="paragraph" w:styleId="TableofFigures">
    <w:name w:val="table of figures"/>
    <w:basedOn w:val="Normal"/>
    <w:next w:val="Normal"/>
    <w:uiPriority w:val="99"/>
    <w:unhideWhenUsed/>
    <w:rsid w:val="00601256"/>
    <w:pPr>
      <w:spacing w:after="0"/>
    </w:pPr>
    <w:rPr>
      <w:rFonts w:ascii="Arial" w:eastAsiaTheme="minorHAnsi" w:hAnsi="Arial"/>
      <w:color w:val="000000" w:themeColor="text1"/>
    </w:rPr>
  </w:style>
  <w:style w:type="paragraph" w:styleId="Title">
    <w:name w:val="Title"/>
    <w:basedOn w:val="Normal"/>
    <w:next w:val="Normal"/>
    <w:link w:val="TitleChar"/>
    <w:uiPriority w:val="10"/>
    <w:rsid w:val="00601256"/>
    <w:pPr>
      <w:spacing w:after="240" w:line="240" w:lineRule="auto"/>
      <w:contextualSpacing/>
      <w:jc w:val="left"/>
    </w:pPr>
    <w:rPr>
      <w:rFonts w:ascii="Arial" w:eastAsiaTheme="majorEastAsia" w:hAnsi="Arial" w:cstheme="majorBidi"/>
      <w:b/>
      <w:color w:val="5B9BD5" w:themeColor="accent1"/>
      <w:sz w:val="56"/>
      <w:szCs w:val="56"/>
    </w:rPr>
  </w:style>
  <w:style w:type="character" w:customStyle="1" w:styleId="TitleChar">
    <w:name w:val="Title Char"/>
    <w:basedOn w:val="DefaultParagraphFont"/>
    <w:link w:val="Title"/>
    <w:uiPriority w:val="10"/>
    <w:rsid w:val="00601256"/>
    <w:rPr>
      <w:rFonts w:ascii="Arial" w:eastAsiaTheme="majorEastAsia" w:hAnsi="Arial" w:cstheme="majorBidi"/>
      <w:b/>
      <w:color w:val="5B9BD5" w:themeColor="accent1"/>
      <w:sz w:val="56"/>
      <w:szCs w:val="56"/>
      <w:lang w:val="en-GB"/>
    </w:rPr>
  </w:style>
  <w:style w:type="paragraph" w:styleId="Subtitle">
    <w:name w:val="Subtitle"/>
    <w:basedOn w:val="Normal"/>
    <w:next w:val="Normal"/>
    <w:link w:val="SubtitleChar"/>
    <w:uiPriority w:val="11"/>
    <w:rsid w:val="00601256"/>
    <w:pPr>
      <w:numPr>
        <w:ilvl w:val="1"/>
      </w:numPr>
      <w:spacing w:after="0"/>
    </w:pPr>
    <w:rPr>
      <w:rFonts w:ascii="Arial" w:hAnsi="Arial"/>
      <w:color w:val="000000" w:themeColor="text1"/>
      <w:sz w:val="36"/>
    </w:rPr>
  </w:style>
  <w:style w:type="character" w:customStyle="1" w:styleId="SubtitleChar">
    <w:name w:val="Subtitle Char"/>
    <w:basedOn w:val="DefaultParagraphFont"/>
    <w:link w:val="Subtitle"/>
    <w:uiPriority w:val="11"/>
    <w:rsid w:val="00601256"/>
    <w:rPr>
      <w:rFonts w:ascii="Arial" w:eastAsiaTheme="minorEastAsia" w:hAnsi="Arial"/>
      <w:color w:val="000000" w:themeColor="text1"/>
      <w:sz w:val="36"/>
      <w:lang w:val="en-GB"/>
    </w:rPr>
  </w:style>
  <w:style w:type="paragraph" w:styleId="NoSpacing">
    <w:name w:val="No Spacing"/>
    <w:aliases w:val="FirstPage_SmallTitles"/>
    <w:basedOn w:val="Normal"/>
    <w:link w:val="NoSpacingChar"/>
    <w:uiPriority w:val="1"/>
    <w:rsid w:val="00601256"/>
    <w:pPr>
      <w:spacing w:after="0"/>
    </w:pPr>
    <w:rPr>
      <w:rFonts w:ascii="Arial" w:eastAsiaTheme="minorHAnsi" w:hAnsi="Arial"/>
      <w:b/>
      <w:color w:val="44546A" w:themeColor="text2"/>
    </w:rPr>
  </w:style>
  <w:style w:type="character" w:customStyle="1" w:styleId="NoSpacingChar">
    <w:name w:val="No Spacing Char"/>
    <w:aliases w:val="FirstPage_SmallTitles Char"/>
    <w:basedOn w:val="DefaultParagraphFont"/>
    <w:link w:val="NoSpacing"/>
    <w:uiPriority w:val="1"/>
    <w:rsid w:val="00601256"/>
    <w:rPr>
      <w:rFonts w:ascii="Arial" w:hAnsi="Arial"/>
      <w:b/>
      <w:color w:val="44546A" w:themeColor="text2"/>
      <w:sz w:val="20"/>
      <w:lang w:val="en-GB"/>
    </w:rPr>
  </w:style>
  <w:style w:type="character" w:styleId="PlaceholderText">
    <w:name w:val="Placeholder Text"/>
    <w:basedOn w:val="DefaultParagraphFont"/>
    <w:uiPriority w:val="99"/>
    <w:semiHidden/>
    <w:rsid w:val="00601256"/>
    <w:rPr>
      <w:color w:val="808080"/>
    </w:rPr>
  </w:style>
  <w:style w:type="numbering" w:customStyle="1" w:styleId="old">
    <w:name w:val="old"/>
    <w:uiPriority w:val="99"/>
    <w:rsid w:val="00601256"/>
    <w:pPr>
      <w:numPr>
        <w:numId w:val="7"/>
      </w:numPr>
    </w:pPr>
  </w:style>
  <w:style w:type="numbering" w:customStyle="1" w:styleId="NewClimateInstituteBullets">
    <w:name w:val="NewClimate Institute_Bullets"/>
    <w:uiPriority w:val="99"/>
    <w:rsid w:val="00601256"/>
    <w:pPr>
      <w:numPr>
        <w:numId w:val="8"/>
      </w:numPr>
    </w:pPr>
  </w:style>
  <w:style w:type="numbering" w:customStyle="1" w:styleId="NewClimateInstituteNumbersOrange">
    <w:name w:val="NewClimate Institute_NumbersOrange"/>
    <w:uiPriority w:val="99"/>
    <w:rsid w:val="00601256"/>
    <w:pPr>
      <w:numPr>
        <w:numId w:val="9"/>
      </w:numPr>
    </w:pPr>
  </w:style>
  <w:style w:type="paragraph" w:styleId="TOC2">
    <w:name w:val="toc 2"/>
    <w:aliases w:val="TOC 2 NewClimate"/>
    <w:basedOn w:val="Normal"/>
    <w:next w:val="Normal"/>
    <w:autoRedefine/>
    <w:uiPriority w:val="39"/>
    <w:unhideWhenUsed/>
    <w:rsid w:val="00601256"/>
    <w:pPr>
      <w:tabs>
        <w:tab w:val="left" w:pos="992"/>
        <w:tab w:val="right" w:leader="dot" w:pos="9060"/>
      </w:tabs>
      <w:spacing w:after="100"/>
      <w:ind w:left="369"/>
    </w:pPr>
    <w:rPr>
      <w:rFonts w:ascii="Arial" w:eastAsiaTheme="minorHAnsi" w:hAnsi="Arial"/>
    </w:rPr>
  </w:style>
  <w:style w:type="paragraph" w:styleId="TOC1">
    <w:name w:val="toc 1"/>
    <w:aliases w:val="NewClimate Institute_TOC"/>
    <w:basedOn w:val="NoSpacing"/>
    <w:next w:val="Normal"/>
    <w:autoRedefine/>
    <w:uiPriority w:val="39"/>
    <w:unhideWhenUsed/>
    <w:rsid w:val="00601256"/>
    <w:pPr>
      <w:tabs>
        <w:tab w:val="left" w:pos="369"/>
        <w:tab w:val="right" w:leader="dot" w:pos="9060"/>
      </w:tabs>
      <w:spacing w:after="100"/>
    </w:pPr>
    <w:rPr>
      <w:b w:val="0"/>
      <w:color w:val="auto"/>
    </w:rPr>
  </w:style>
  <w:style w:type="table" w:styleId="ListTable7Colorful-Accent6">
    <w:name w:val="List Table 7 Colorful Accent 6"/>
    <w:basedOn w:val="TableNormal"/>
    <w:uiPriority w:val="52"/>
    <w:rsid w:val="00601256"/>
    <w:pPr>
      <w:spacing w:after="0" w:line="240" w:lineRule="auto"/>
    </w:pPr>
    <w:rPr>
      <w:color w:val="538135" w:themeColor="accent6" w:themeShade="BF"/>
      <w:lang w:val="de-D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601256"/>
    <w:pPr>
      <w:spacing w:after="0" w:line="240" w:lineRule="auto"/>
    </w:pPr>
    <w:rPr>
      <w:color w:val="2F5496" w:themeColor="accent5" w:themeShade="BF"/>
      <w:lang w:val="de-D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5Dark-Accent5">
    <w:name w:val="List Table 5 Dark Accent 5"/>
    <w:basedOn w:val="TableNormal"/>
    <w:uiPriority w:val="50"/>
    <w:rsid w:val="00601256"/>
    <w:pPr>
      <w:spacing w:after="0" w:line="240" w:lineRule="auto"/>
    </w:pPr>
    <w:rPr>
      <w:color w:val="FFFFFF" w:themeColor="background1"/>
      <w:lang w:val="de-DE"/>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Accent2">
    <w:name w:val="List Table 6 Colorful Accent 2"/>
    <w:aliases w:val="NewClimate Institute_Table grey,NewClimate Institute_grey"/>
    <w:basedOn w:val="TableNormal"/>
    <w:uiPriority w:val="51"/>
    <w:rsid w:val="00601256"/>
    <w:pPr>
      <w:spacing w:after="0" w:line="240" w:lineRule="auto"/>
    </w:pPr>
    <w:rPr>
      <w:rFonts w:ascii="Arial" w:hAnsi="Arial"/>
      <w:color w:val="000000" w:themeColor="text1"/>
      <w:sz w:val="20"/>
      <w:lang w:val="de-DE"/>
    </w:rPr>
    <w:tblPr>
      <w:tblStyleRowBandSize w:val="1"/>
      <w:tblStyleColBandSize w:val="1"/>
      <w:tblBorders>
        <w:top w:val="single" w:sz="4" w:space="0" w:color="ED7D31" w:themeColor="accent2"/>
        <w:bottom w:val="single" w:sz="4" w:space="0" w:color="ED7D31" w:themeColor="accent2"/>
        <w:insideV w:val="single" w:sz="12" w:space="0" w:color="F4B083" w:themeColor="accent2" w:themeTint="99"/>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601256"/>
    <w:pPr>
      <w:spacing w:after="0" w:line="240" w:lineRule="auto"/>
    </w:pPr>
    <w:rPr>
      <w:color w:val="7B7B7B" w:themeColor="accent3" w:themeShade="BF"/>
      <w:lang w:val="de-DE"/>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OC3">
    <w:name w:val="toc 3"/>
    <w:aliases w:val="TOC 3 NewClimate"/>
    <w:basedOn w:val="Normal"/>
    <w:next w:val="Normal"/>
    <w:autoRedefine/>
    <w:uiPriority w:val="39"/>
    <w:unhideWhenUsed/>
    <w:rsid w:val="00601256"/>
    <w:pPr>
      <w:tabs>
        <w:tab w:val="left" w:pos="993"/>
        <w:tab w:val="right" w:leader="dot" w:pos="9066"/>
      </w:tabs>
      <w:spacing w:after="100"/>
      <w:ind w:left="397"/>
    </w:pPr>
    <w:rPr>
      <w:rFonts w:ascii="Arial" w:eastAsiaTheme="minorHAnsi" w:hAnsi="Arial"/>
      <w:color w:val="000000" w:themeColor="text1"/>
    </w:rPr>
  </w:style>
  <w:style w:type="character" w:styleId="Strong">
    <w:name w:val="Strong"/>
    <w:basedOn w:val="DefaultParagraphFont"/>
    <w:uiPriority w:val="22"/>
    <w:rsid w:val="00601256"/>
    <w:rPr>
      <w:rFonts w:ascii="Arial" w:hAnsi="Arial"/>
      <w:b/>
      <w:bCs/>
      <w:sz w:val="20"/>
    </w:rPr>
  </w:style>
  <w:style w:type="paragraph" w:customStyle="1" w:styleId="HeadingNoNumbers">
    <w:name w:val="Heading_No Numbers"/>
    <w:basedOn w:val="Heading1"/>
    <w:next w:val="Normal"/>
    <w:qFormat/>
    <w:rsid w:val="00601256"/>
    <w:pPr>
      <w:numPr>
        <w:numId w:val="0"/>
      </w:numPr>
      <w:spacing w:before="360" w:after="120"/>
    </w:pPr>
    <w:rPr>
      <w:rFonts w:ascii="Arial" w:hAnsi="Arial"/>
      <w:b/>
    </w:rPr>
  </w:style>
  <w:style w:type="paragraph" w:styleId="Quote">
    <w:name w:val="Quote"/>
    <w:basedOn w:val="Normal"/>
    <w:next w:val="Normal"/>
    <w:link w:val="QuoteChar"/>
    <w:uiPriority w:val="29"/>
    <w:rsid w:val="00601256"/>
    <w:pPr>
      <w:spacing w:before="200"/>
      <w:ind w:left="864" w:right="864"/>
    </w:pPr>
    <w:rPr>
      <w:rFonts w:ascii="Arial" w:eastAsiaTheme="minorHAnsi" w:hAnsi="Arial"/>
      <w:i/>
      <w:iCs/>
      <w:color w:val="404040" w:themeColor="text1" w:themeTint="BF"/>
    </w:rPr>
  </w:style>
  <w:style w:type="character" w:customStyle="1" w:styleId="QuoteChar">
    <w:name w:val="Quote Char"/>
    <w:basedOn w:val="DefaultParagraphFont"/>
    <w:link w:val="Quote"/>
    <w:uiPriority w:val="29"/>
    <w:rsid w:val="00601256"/>
    <w:rPr>
      <w:rFonts w:ascii="Arial" w:hAnsi="Arial"/>
      <w:i/>
      <w:iCs/>
      <w:color w:val="404040" w:themeColor="text1" w:themeTint="BF"/>
      <w:sz w:val="20"/>
      <w:lang w:val="en-GB"/>
    </w:rPr>
  </w:style>
  <w:style w:type="paragraph" w:customStyle="1" w:styleId="Emphasis2">
    <w:name w:val="Emphasis2"/>
    <w:basedOn w:val="Normal"/>
    <w:next w:val="Normal"/>
    <w:link w:val="Emphasis2Char"/>
    <w:qFormat/>
    <w:rsid w:val="00601256"/>
    <w:pPr>
      <w:ind w:left="708"/>
    </w:pPr>
    <w:rPr>
      <w:rFonts w:ascii="Arial" w:eastAsiaTheme="minorHAnsi" w:hAnsi="Arial"/>
      <w:i/>
      <w:color w:val="000000" w:themeColor="text1"/>
    </w:rPr>
  </w:style>
  <w:style w:type="character" w:customStyle="1" w:styleId="Emphasis2Char">
    <w:name w:val="Emphasis2 Char"/>
    <w:basedOn w:val="DefaultParagraphFont"/>
    <w:link w:val="Emphasis2"/>
    <w:rsid w:val="00601256"/>
    <w:rPr>
      <w:rFonts w:ascii="Arial" w:hAnsi="Arial"/>
      <w:i/>
      <w:color w:val="000000" w:themeColor="text1"/>
      <w:sz w:val="20"/>
      <w:lang w:val="en-GB"/>
    </w:rPr>
  </w:style>
  <w:style w:type="table" w:styleId="ListTable6Colorful-Accent6">
    <w:name w:val="List Table 6 Colorful Accent 6"/>
    <w:basedOn w:val="TableNormal"/>
    <w:uiPriority w:val="51"/>
    <w:rsid w:val="00601256"/>
    <w:pPr>
      <w:spacing w:after="0" w:line="240" w:lineRule="auto"/>
    </w:pPr>
    <w:rPr>
      <w:color w:val="538135" w:themeColor="accent6" w:themeShade="BF"/>
      <w:lang w:val="de-DE"/>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Commentsontablesorfigures">
    <w:name w:val="Comments on tables or figures"/>
    <w:basedOn w:val="Normal"/>
    <w:next w:val="Normal"/>
    <w:link w:val="CommentsontablesorfiguresChar"/>
    <w:qFormat/>
    <w:rsid w:val="00601256"/>
    <w:pPr>
      <w:ind w:firstLine="284"/>
    </w:pPr>
    <w:rPr>
      <w:rFonts w:ascii="Arial" w:eastAsiaTheme="minorHAnsi" w:hAnsi="Arial"/>
      <w:i/>
      <w:color w:val="000000" w:themeColor="text1"/>
      <w:sz w:val="18"/>
    </w:rPr>
  </w:style>
  <w:style w:type="character" w:customStyle="1" w:styleId="CommentsontablesorfiguresChar">
    <w:name w:val="Comments on tables or figures Char"/>
    <w:basedOn w:val="DefaultParagraphFont"/>
    <w:link w:val="Commentsontablesorfigures"/>
    <w:rsid w:val="00601256"/>
    <w:rPr>
      <w:rFonts w:ascii="Arial" w:hAnsi="Arial"/>
      <w:i/>
      <w:color w:val="000000" w:themeColor="text1"/>
      <w:sz w:val="18"/>
      <w:lang w:val="en-GB"/>
    </w:rPr>
  </w:style>
  <w:style w:type="paragraph" w:customStyle="1" w:styleId="Subheadingwithoutnumber">
    <w:name w:val="Subheading without number"/>
    <w:basedOn w:val="Normal"/>
    <w:next w:val="Normal"/>
    <w:link w:val="SubheadingwithoutnumberChar"/>
    <w:qFormat/>
    <w:rsid w:val="00601256"/>
    <w:pPr>
      <w:spacing w:before="160" w:after="0"/>
    </w:pPr>
    <w:rPr>
      <w:rFonts w:ascii="Arial" w:eastAsiaTheme="minorHAnsi" w:hAnsi="Arial"/>
      <w:b/>
      <w:i/>
    </w:rPr>
  </w:style>
  <w:style w:type="character" w:customStyle="1" w:styleId="SubheadingwithoutnumberChar">
    <w:name w:val="Subheading without number Char"/>
    <w:basedOn w:val="DefaultParagraphFont"/>
    <w:link w:val="Subheadingwithoutnumber"/>
    <w:rsid w:val="00601256"/>
    <w:rPr>
      <w:rFonts w:ascii="Arial" w:hAnsi="Arial"/>
      <w:b/>
      <w:i/>
      <w:sz w:val="20"/>
      <w:lang w:val="en-GB"/>
    </w:rPr>
  </w:style>
  <w:style w:type="character" w:styleId="EndnoteReference">
    <w:name w:val="endnote reference"/>
    <w:basedOn w:val="DefaultParagraphFont"/>
    <w:uiPriority w:val="99"/>
    <w:semiHidden/>
    <w:unhideWhenUsed/>
    <w:rsid w:val="00601256"/>
    <w:rPr>
      <w:vertAlign w:val="superscript"/>
    </w:rPr>
  </w:style>
  <w:style w:type="table" w:customStyle="1" w:styleId="NewClimateTableGrey">
    <w:name w:val="NewClimate_TableGrey"/>
    <w:basedOn w:val="TableNormal"/>
    <w:uiPriority w:val="99"/>
    <w:rsid w:val="00601256"/>
    <w:pPr>
      <w:spacing w:after="0" w:line="240" w:lineRule="auto"/>
    </w:pPr>
    <w:rPr>
      <w:rFonts w:ascii="Arial" w:hAnsi="Arial"/>
      <w:sz w:val="20"/>
      <w:lang w:val="de-DE"/>
    </w:rPr>
    <w:tblPr>
      <w:tblStyleRowBandSize w:val="1"/>
      <w:tblStyleColBandSize w:val="1"/>
      <w:tblBorders>
        <w:top w:val="single" w:sz="4" w:space="0" w:color="44546A" w:themeColor="text2"/>
        <w:bottom w:val="single" w:sz="4" w:space="0" w:color="44546A" w:themeColor="text2"/>
        <w:insideV w:val="single" w:sz="4" w:space="0" w:color="44546A" w:themeColor="text2"/>
      </w:tblBorders>
    </w:tblPr>
    <w:tcPr>
      <w:shd w:val="clear" w:color="auto" w:fill="auto"/>
    </w:tcPr>
    <w:tblStylePr w:type="firstRow">
      <w:rPr>
        <w:rFonts w:ascii="Arial" w:hAnsi="Arial"/>
        <w:b/>
        <w:sz w:val="20"/>
      </w:rPr>
      <w:tblPr/>
      <w:tcPr>
        <w:tcBorders>
          <w:bottom w:val="single" w:sz="4" w:space="0" w:color="44546A" w:themeColor="text2"/>
        </w:tcBorders>
        <w:shd w:val="clear" w:color="auto" w:fill="auto"/>
      </w:tcPr>
    </w:tblStylePr>
    <w:tblStylePr w:type="lastRow">
      <w:rPr>
        <w:rFonts w:ascii="Arial" w:hAnsi="Arial"/>
        <w:sz w:val="20"/>
      </w:rPr>
      <w:tblPr/>
      <w:tcPr>
        <w:tcBorders>
          <w:top w:val="double" w:sz="4" w:space="0" w:color="44546A" w:themeColor="text2"/>
        </w:tcBorders>
        <w:shd w:val="clear" w:color="auto" w:fill="auto"/>
      </w:tcPr>
    </w:tblStylePr>
    <w:tblStylePr w:type="firstCol">
      <w:rPr>
        <w:rFonts w:ascii="Arial" w:hAnsi="Arial"/>
        <w:b/>
        <w:sz w:val="20"/>
      </w:rPr>
    </w:tblStylePr>
    <w:tblStylePr w:type="band1Vert">
      <w:tblPr/>
      <w:tcPr>
        <w:shd w:val="clear" w:color="auto" w:fill="F5F4F4" w:themeFill="background2" w:themeFillTint="66"/>
      </w:tcPr>
    </w:tblStylePr>
    <w:tblStylePr w:type="band1Horz">
      <w:tblPr/>
      <w:tcPr>
        <w:shd w:val="clear" w:color="auto" w:fill="F5F4F4" w:themeFill="background2" w:themeFillTint="66"/>
      </w:tcPr>
    </w:tblStylePr>
  </w:style>
  <w:style w:type="paragraph" w:customStyle="1" w:styleId="FrontpageTitle">
    <w:name w:val="Front page_Title"/>
    <w:basedOn w:val="Normal"/>
    <w:link w:val="FrontpageTitleChar"/>
    <w:rsid w:val="00601256"/>
    <w:pPr>
      <w:spacing w:after="120" w:line="240" w:lineRule="auto"/>
      <w:jc w:val="left"/>
    </w:pPr>
    <w:rPr>
      <w:rFonts w:ascii="Arial" w:eastAsiaTheme="minorHAnsi" w:hAnsi="Arial"/>
      <w:b/>
      <w:color w:val="FFFFFF" w:themeColor="background1"/>
      <w:sz w:val="56"/>
    </w:rPr>
  </w:style>
  <w:style w:type="paragraph" w:customStyle="1" w:styleId="FrontpageAuthors">
    <w:name w:val="Front page_Authors"/>
    <w:basedOn w:val="Normal"/>
    <w:link w:val="FrontpageAuthorsChar"/>
    <w:rsid w:val="00601256"/>
    <w:pPr>
      <w:spacing w:after="0" w:line="240" w:lineRule="auto"/>
    </w:pPr>
    <w:rPr>
      <w:rFonts w:ascii="Arial" w:eastAsiaTheme="minorHAnsi" w:hAnsi="Arial"/>
      <w:sz w:val="28"/>
      <w:szCs w:val="30"/>
      <w:lang w:val="de-DE"/>
    </w:rPr>
  </w:style>
  <w:style w:type="character" w:customStyle="1" w:styleId="FrontpageTitleChar">
    <w:name w:val="Front page_Title Char"/>
    <w:basedOn w:val="DefaultParagraphFont"/>
    <w:link w:val="FrontpageTitle"/>
    <w:rsid w:val="00601256"/>
    <w:rPr>
      <w:rFonts w:ascii="Arial" w:hAnsi="Arial"/>
      <w:b/>
      <w:color w:val="FFFFFF" w:themeColor="background1"/>
      <w:sz w:val="56"/>
      <w:lang w:val="en-GB"/>
    </w:rPr>
  </w:style>
  <w:style w:type="character" w:customStyle="1" w:styleId="FrontpageAuthorsChar">
    <w:name w:val="Front page_Authors Char"/>
    <w:basedOn w:val="DefaultParagraphFont"/>
    <w:link w:val="FrontpageAuthors"/>
    <w:rsid w:val="00601256"/>
    <w:rPr>
      <w:rFonts w:ascii="Arial" w:hAnsi="Arial"/>
      <w:sz w:val="28"/>
      <w:szCs w:val="30"/>
      <w:lang w:val="de-DE"/>
    </w:rPr>
  </w:style>
  <w:style w:type="numbering" w:customStyle="1" w:styleId="NewClimateInstituteBulletsSimple">
    <w:name w:val="NewClimate Institute_Bullets Simple"/>
    <w:uiPriority w:val="99"/>
    <w:rsid w:val="00601256"/>
    <w:pPr>
      <w:numPr>
        <w:numId w:val="22"/>
      </w:numPr>
    </w:pPr>
  </w:style>
  <w:style w:type="paragraph" w:customStyle="1" w:styleId="FirstPageText">
    <w:name w:val="First Page_Text"/>
    <w:basedOn w:val="Normal"/>
    <w:link w:val="FirstPageTextChar"/>
    <w:qFormat/>
    <w:rsid w:val="00601256"/>
    <w:pPr>
      <w:spacing w:after="0" w:line="240" w:lineRule="auto"/>
    </w:pPr>
    <w:rPr>
      <w:rFonts w:ascii="Arial" w:eastAsiaTheme="minorHAnsi" w:hAnsi="Arial"/>
    </w:rPr>
  </w:style>
  <w:style w:type="character" w:styleId="FollowedHyperlink">
    <w:name w:val="FollowedHyperlink"/>
    <w:basedOn w:val="DefaultParagraphFont"/>
    <w:uiPriority w:val="99"/>
    <w:semiHidden/>
    <w:unhideWhenUsed/>
    <w:rsid w:val="00601256"/>
    <w:rPr>
      <w:color w:val="954F72" w:themeColor="followedHyperlink"/>
      <w:u w:val="single"/>
    </w:rPr>
  </w:style>
  <w:style w:type="character" w:customStyle="1" w:styleId="FirstPageTextChar">
    <w:name w:val="First Page_Text Char"/>
    <w:basedOn w:val="DefaultParagraphFont"/>
    <w:link w:val="FirstPageText"/>
    <w:rsid w:val="00601256"/>
    <w:rPr>
      <w:rFonts w:ascii="Arial" w:hAnsi="Arial"/>
      <w:sz w:val="20"/>
      <w:lang w:val="en-GB"/>
    </w:rPr>
  </w:style>
  <w:style w:type="paragraph" w:styleId="CommentSubject">
    <w:name w:val="annotation subject"/>
    <w:basedOn w:val="CommentText"/>
    <w:next w:val="CommentText"/>
    <w:link w:val="CommentSubjectChar"/>
    <w:uiPriority w:val="99"/>
    <w:semiHidden/>
    <w:unhideWhenUsed/>
    <w:rsid w:val="00601256"/>
    <w:rPr>
      <w:rFonts w:ascii="Arial" w:eastAsiaTheme="minorHAnsi" w:hAnsi="Arial"/>
      <w:b/>
      <w:bCs/>
      <w:color w:val="000000" w:themeColor="text1"/>
    </w:rPr>
  </w:style>
  <w:style w:type="character" w:customStyle="1" w:styleId="CommentSubjectChar">
    <w:name w:val="Comment Subject Char"/>
    <w:basedOn w:val="CommentTextChar"/>
    <w:link w:val="CommentSubject"/>
    <w:uiPriority w:val="99"/>
    <w:semiHidden/>
    <w:rsid w:val="00601256"/>
    <w:rPr>
      <w:rFonts w:ascii="Arial" w:eastAsiaTheme="minorEastAsia" w:hAnsi="Arial"/>
      <w:b/>
      <w:bCs/>
      <w:color w:val="000000" w:themeColor="text1"/>
      <w:sz w:val="20"/>
      <w:szCs w:val="20"/>
      <w:lang w:val="en-GB"/>
    </w:rPr>
  </w:style>
  <w:style w:type="paragraph" w:customStyle="1" w:styleId="TextboxTitle">
    <w:name w:val="Textbox_Title"/>
    <w:basedOn w:val="Normal"/>
    <w:link w:val="TextboxTitleZchn"/>
    <w:rsid w:val="00601256"/>
    <w:pPr>
      <w:pBdr>
        <w:top w:val="single" w:sz="24" w:space="8" w:color="5B9BD5" w:themeColor="accent1"/>
        <w:bottom w:val="single" w:sz="24" w:space="8" w:color="5B9BD5" w:themeColor="accent1"/>
      </w:pBdr>
      <w:spacing w:after="0"/>
    </w:pPr>
    <w:rPr>
      <w:rFonts w:ascii="Arial" w:eastAsiaTheme="minorHAnsi" w:hAnsi="Arial"/>
      <w:b/>
      <w:iCs/>
      <w:szCs w:val="24"/>
    </w:rPr>
  </w:style>
  <w:style w:type="paragraph" w:customStyle="1" w:styleId="TextboxText">
    <w:name w:val="Textbox_Text"/>
    <w:basedOn w:val="Normal"/>
    <w:link w:val="TextboxTextZchn"/>
    <w:rsid w:val="00601256"/>
    <w:pPr>
      <w:pBdr>
        <w:top w:val="single" w:sz="24" w:space="8" w:color="5B9BD5" w:themeColor="accent1"/>
        <w:bottom w:val="single" w:sz="24" w:space="8" w:color="5B9BD5" w:themeColor="accent1"/>
      </w:pBdr>
      <w:spacing w:after="0"/>
    </w:pPr>
    <w:rPr>
      <w:rFonts w:ascii="Arial" w:eastAsiaTheme="minorHAnsi" w:hAnsi="Arial"/>
      <w:iCs/>
      <w:szCs w:val="24"/>
    </w:rPr>
  </w:style>
  <w:style w:type="character" w:customStyle="1" w:styleId="TextboxTitleZchn">
    <w:name w:val="Textbox_Title Zchn"/>
    <w:basedOn w:val="DefaultParagraphFont"/>
    <w:link w:val="TextboxTitle"/>
    <w:rsid w:val="00601256"/>
    <w:rPr>
      <w:rFonts w:ascii="Arial" w:hAnsi="Arial"/>
      <w:b/>
      <w:iCs/>
      <w:sz w:val="20"/>
      <w:szCs w:val="24"/>
      <w:lang w:val="en-GB"/>
    </w:rPr>
  </w:style>
  <w:style w:type="character" w:customStyle="1" w:styleId="TextboxTextZchn">
    <w:name w:val="Textbox_Text Zchn"/>
    <w:basedOn w:val="DefaultParagraphFont"/>
    <w:link w:val="TextboxText"/>
    <w:rsid w:val="00601256"/>
    <w:rPr>
      <w:rFonts w:ascii="Arial" w:hAnsi="Arial"/>
      <w:iCs/>
      <w:sz w:val="20"/>
      <w:szCs w:val="24"/>
      <w:lang w:val="en-GB"/>
    </w:rPr>
  </w:style>
  <w:style w:type="numbering" w:customStyle="1" w:styleId="NewClimateInstituteNumbersBlack">
    <w:name w:val="NewClimate Institute_NumbersBlack"/>
    <w:uiPriority w:val="99"/>
    <w:rsid w:val="00601256"/>
    <w:pPr>
      <w:numPr>
        <w:numId w:val="32"/>
      </w:numPr>
    </w:pPr>
  </w:style>
  <w:style w:type="paragraph" w:customStyle="1" w:styleId="NewClimateopen-Boxorange">
    <w:name w:val="NewClimate_open-Box orange"/>
    <w:qFormat/>
    <w:rsid w:val="00601256"/>
    <w:pPr>
      <w:spacing w:before="60" w:line="288" w:lineRule="auto"/>
      <w:jc w:val="both"/>
    </w:pPr>
    <w:rPr>
      <w:rFonts w:ascii="Arial" w:hAnsi="Arial"/>
      <w:color w:val="000000" w:themeColor="text1"/>
      <w:sz w:val="20"/>
      <w:lang w:val="en-GB"/>
    </w:rPr>
  </w:style>
  <w:style w:type="table" w:styleId="ListTable1Light-Accent5">
    <w:name w:val="List Table 1 Light Accent 5"/>
    <w:basedOn w:val="TableNormal"/>
    <w:uiPriority w:val="46"/>
    <w:rsid w:val="00601256"/>
    <w:pPr>
      <w:spacing w:after="0" w:line="240" w:lineRule="auto"/>
    </w:pPr>
    <w:rPr>
      <w:lang w:val="de-DE"/>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NewClimateAbbreviations">
    <w:name w:val="NewClimate_Abbreviations"/>
    <w:basedOn w:val="TableNormal"/>
    <w:uiPriority w:val="99"/>
    <w:rsid w:val="00601256"/>
    <w:pPr>
      <w:spacing w:after="0" w:line="240" w:lineRule="auto"/>
    </w:pPr>
    <w:rPr>
      <w:color w:val="000000" w:themeColor="text1"/>
      <w:sz w:val="20"/>
      <w:lang w:val="de-DE"/>
    </w:rPr>
    <w:tblPr>
      <w:tblBorders>
        <w:insideV w:val="single" w:sz="4" w:space="0" w:color="44546A" w:themeColor="text2"/>
      </w:tblBorders>
    </w:tblPr>
    <w:tcPr>
      <w:shd w:val="clear" w:color="auto" w:fill="auto"/>
    </w:tcPr>
    <w:tblStylePr w:type="firstCol">
      <w:rPr>
        <w:rFonts w:ascii="Arial" w:hAnsi="Arial"/>
        <w:b/>
        <w:sz w:val="20"/>
      </w:rPr>
    </w:tblStylePr>
  </w:style>
  <w:style w:type="paragraph" w:customStyle="1" w:styleId="ExplanationOfTemplateFunctionality">
    <w:name w:val="ExplanationOfTemplateFunctionality"/>
    <w:basedOn w:val="Normal"/>
    <w:link w:val="ExplanationOfTemplateFunctionalityChar"/>
    <w:rsid w:val="00601256"/>
    <w:rPr>
      <w:rFonts w:ascii="Arial" w:eastAsiaTheme="minorHAnsi" w:hAnsi="Arial"/>
      <w:color w:val="00B0F0"/>
    </w:rPr>
  </w:style>
  <w:style w:type="character" w:customStyle="1" w:styleId="ExplanationOfTemplateFunctionalityChar">
    <w:name w:val="ExplanationOfTemplateFunctionality Char"/>
    <w:basedOn w:val="DefaultParagraphFont"/>
    <w:link w:val="ExplanationOfTemplateFunctionality"/>
    <w:rsid w:val="00601256"/>
    <w:rPr>
      <w:rFonts w:ascii="Arial" w:hAnsi="Arial"/>
      <w:color w:val="00B0F0"/>
      <w:sz w:val="20"/>
      <w:lang w:val="en-GB"/>
    </w:rPr>
  </w:style>
  <w:style w:type="table" w:styleId="ListTable7Colorful-Accent1">
    <w:name w:val="List Table 7 Colorful Accent 1"/>
    <w:basedOn w:val="TableNormal"/>
    <w:uiPriority w:val="52"/>
    <w:rsid w:val="00601256"/>
    <w:pPr>
      <w:spacing w:after="0" w:line="240" w:lineRule="auto"/>
    </w:pPr>
    <w:rPr>
      <w:color w:val="2E74B5" w:themeColor="accent1" w:themeShade="BF"/>
      <w:lang w:val="de-DE"/>
    </w:rPr>
    <w:tblPr>
      <w:tblStyleRowBandSize w:val="1"/>
      <w:tblStyleColBandSize w:val="1"/>
    </w:tblPr>
    <w:tblStylePr w:type="firstRow">
      <w:rPr>
        <w:rFonts w:ascii="Arial" w:eastAsiaTheme="majorEastAsia" w:hAnsi="Arial" w:cstheme="majorBidi"/>
        <w:b/>
        <w:i w:val="0"/>
        <w:iCs/>
        <w:sz w:val="20"/>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Arial" w:eastAsiaTheme="majorEastAsia" w:hAnsi="Arial" w:cstheme="majorBidi"/>
        <w:b/>
        <w:i w:val="0"/>
        <w:iCs/>
        <w:color w:val="000000" w:themeColor="text1"/>
        <w:sz w:val="20"/>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601256"/>
    <w:pPr>
      <w:spacing w:after="0" w:line="240" w:lineRule="auto"/>
    </w:pPr>
    <w:rPr>
      <w:lang w:val="de-D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FrontPageMonthYear">
    <w:name w:val="FrontPage Month &amp; Year"/>
    <w:basedOn w:val="Normal"/>
    <w:link w:val="FrontPageMonthYearChar"/>
    <w:qFormat/>
    <w:rsid w:val="00601256"/>
    <w:pPr>
      <w:ind w:right="229"/>
      <w:jc w:val="right"/>
    </w:pPr>
    <w:rPr>
      <w:rFonts w:ascii="Arial" w:eastAsiaTheme="minorHAnsi" w:hAnsi="Arial"/>
      <w:b/>
      <w:color w:val="767171" w:themeColor="background2" w:themeShade="80"/>
      <w:sz w:val="28"/>
    </w:rPr>
  </w:style>
  <w:style w:type="character" w:customStyle="1" w:styleId="FrontPageMonthYearChar">
    <w:name w:val="FrontPage Month &amp; Year Char"/>
    <w:basedOn w:val="DefaultParagraphFont"/>
    <w:link w:val="FrontPageMonthYear"/>
    <w:rsid w:val="00601256"/>
    <w:rPr>
      <w:rFonts w:ascii="Arial" w:hAnsi="Arial"/>
      <w:b/>
      <w:color w:val="767171" w:themeColor="background2" w:themeShade="80"/>
      <w:sz w:val="28"/>
      <w:lang w:val="en-GB"/>
    </w:rPr>
  </w:style>
  <w:style w:type="paragraph" w:customStyle="1" w:styleId="FirstPageAuthors">
    <w:name w:val="FirstPage_Authors"/>
    <w:basedOn w:val="FrontpageAuthors"/>
    <w:link w:val="FirstPageAuthorsChar"/>
    <w:qFormat/>
    <w:rsid w:val="00601256"/>
    <w:pPr>
      <w:tabs>
        <w:tab w:val="left" w:pos="9781"/>
      </w:tabs>
      <w:ind w:left="284" w:right="519"/>
    </w:pPr>
  </w:style>
  <w:style w:type="paragraph" w:customStyle="1" w:styleId="TableText">
    <w:name w:val="Table_Text"/>
    <w:basedOn w:val="Normal"/>
    <w:link w:val="TableTextChar"/>
    <w:qFormat/>
    <w:rsid w:val="00601256"/>
    <w:pPr>
      <w:spacing w:after="0"/>
    </w:pPr>
    <w:rPr>
      <w:rFonts w:ascii="Arial" w:eastAsiaTheme="minorHAnsi" w:hAnsi="Arial"/>
      <w:color w:val="000000" w:themeColor="text1"/>
    </w:rPr>
  </w:style>
  <w:style w:type="character" w:customStyle="1" w:styleId="FirstPageAuthorsChar">
    <w:name w:val="FirstPage_Authors Char"/>
    <w:basedOn w:val="FrontpageAuthorsChar"/>
    <w:link w:val="FirstPageAuthors"/>
    <w:rsid w:val="00601256"/>
    <w:rPr>
      <w:rFonts w:ascii="Arial" w:hAnsi="Arial"/>
      <w:sz w:val="28"/>
      <w:szCs w:val="30"/>
      <w:lang w:val="de-DE"/>
    </w:rPr>
  </w:style>
  <w:style w:type="paragraph" w:customStyle="1" w:styleId="Emphasis3">
    <w:name w:val="Emphasis3"/>
    <w:basedOn w:val="Normal"/>
    <w:next w:val="Normal"/>
    <w:link w:val="Emphasis3Char"/>
    <w:qFormat/>
    <w:rsid w:val="00601256"/>
    <w:rPr>
      <w:rFonts w:ascii="Arial" w:eastAsiaTheme="minorHAnsi" w:hAnsi="Arial"/>
      <w:b/>
    </w:rPr>
  </w:style>
  <w:style w:type="character" w:customStyle="1" w:styleId="TableTextChar">
    <w:name w:val="Table_Text Char"/>
    <w:basedOn w:val="DefaultParagraphFont"/>
    <w:link w:val="TableText"/>
    <w:rsid w:val="00601256"/>
    <w:rPr>
      <w:rFonts w:ascii="Arial" w:hAnsi="Arial"/>
      <w:color w:val="000000" w:themeColor="text1"/>
      <w:sz w:val="20"/>
      <w:lang w:val="en-GB"/>
    </w:rPr>
  </w:style>
  <w:style w:type="character" w:customStyle="1" w:styleId="Emphasis3Char">
    <w:name w:val="Emphasis3 Char"/>
    <w:basedOn w:val="DefaultParagraphFont"/>
    <w:link w:val="Emphasis3"/>
    <w:rsid w:val="00601256"/>
    <w:rPr>
      <w:rFonts w:ascii="Arial" w:hAnsi="Arial"/>
      <w:b/>
      <w:sz w:val="20"/>
      <w:lang w:val="en-GB"/>
    </w:rPr>
  </w:style>
  <w:style w:type="paragraph" w:customStyle="1" w:styleId="HeaderNewClimate">
    <w:name w:val="Header_NewClimate"/>
    <w:basedOn w:val="Normal"/>
    <w:link w:val="HeaderNewClimateChar"/>
    <w:qFormat/>
    <w:rsid w:val="00601256"/>
    <w:pPr>
      <w:pBdr>
        <w:bottom w:val="single" w:sz="4" w:space="4" w:color="5B9BD5" w:themeColor="accent1"/>
      </w:pBdr>
      <w:spacing w:after="0"/>
      <w:contextualSpacing/>
      <w:jc w:val="right"/>
    </w:pPr>
    <w:rPr>
      <w:rFonts w:ascii="Arial" w:eastAsiaTheme="minorHAnsi" w:hAnsi="Arial"/>
      <w:color w:val="44546A" w:themeColor="text2"/>
    </w:rPr>
  </w:style>
  <w:style w:type="character" w:customStyle="1" w:styleId="HeaderNewClimateChar">
    <w:name w:val="Header_NewClimate Char"/>
    <w:basedOn w:val="DefaultParagraphFont"/>
    <w:link w:val="HeaderNewClimate"/>
    <w:rsid w:val="00601256"/>
    <w:rPr>
      <w:rFonts w:ascii="Arial" w:hAnsi="Arial"/>
      <w:color w:val="44546A" w:themeColor="text2"/>
      <w:sz w:val="20"/>
      <w:lang w:val="en-GB"/>
    </w:rPr>
  </w:style>
  <w:style w:type="paragraph" w:customStyle="1" w:styleId="FooterNewClimateName">
    <w:name w:val="Footer_NewClimateName"/>
    <w:basedOn w:val="Footer"/>
    <w:link w:val="FooterNewClimateNameChar"/>
    <w:qFormat/>
    <w:rsid w:val="00601256"/>
    <w:pPr>
      <w:tabs>
        <w:tab w:val="clear" w:pos="4703"/>
        <w:tab w:val="clear" w:pos="9406"/>
        <w:tab w:val="center" w:pos="284"/>
        <w:tab w:val="right" w:pos="9026"/>
      </w:tabs>
      <w:spacing w:line="288" w:lineRule="auto"/>
      <w:jc w:val="left"/>
    </w:pPr>
    <w:rPr>
      <w:rFonts w:ascii="Arial" w:hAnsi="Arial"/>
      <w:b/>
      <w:color w:val="44546A" w:themeColor="text2"/>
      <w:szCs w:val="20"/>
    </w:rPr>
  </w:style>
  <w:style w:type="paragraph" w:customStyle="1" w:styleId="FooterNewClimateMonthYear">
    <w:name w:val="Footer_NewClimate_MonthYear"/>
    <w:basedOn w:val="Footer"/>
    <w:link w:val="FooterNewClimateMonthYearChar"/>
    <w:rsid w:val="00601256"/>
    <w:pPr>
      <w:tabs>
        <w:tab w:val="clear" w:pos="4703"/>
        <w:tab w:val="clear" w:pos="9406"/>
        <w:tab w:val="center" w:pos="284"/>
        <w:tab w:val="right" w:pos="9026"/>
      </w:tabs>
      <w:spacing w:line="288" w:lineRule="auto"/>
      <w:jc w:val="left"/>
    </w:pPr>
    <w:rPr>
      <w:rFonts w:ascii="Arial" w:hAnsi="Arial"/>
      <w:color w:val="44546A" w:themeColor="text2"/>
      <w:szCs w:val="20"/>
    </w:rPr>
  </w:style>
  <w:style w:type="character" w:customStyle="1" w:styleId="FooterNewClimateNameChar">
    <w:name w:val="Footer_NewClimateName Char"/>
    <w:basedOn w:val="FooterChar"/>
    <w:link w:val="FooterNewClimateName"/>
    <w:rsid w:val="00601256"/>
    <w:rPr>
      <w:rFonts w:ascii="Arial" w:eastAsiaTheme="minorEastAsia" w:hAnsi="Arial"/>
      <w:b/>
      <w:color w:val="44546A" w:themeColor="text2"/>
      <w:sz w:val="20"/>
      <w:szCs w:val="20"/>
      <w:lang w:val="en-GB"/>
    </w:rPr>
  </w:style>
  <w:style w:type="paragraph" w:customStyle="1" w:styleId="FooterNewClimatePageNumber">
    <w:name w:val="Footer_NewClimate_PageNumber"/>
    <w:basedOn w:val="Footer"/>
    <w:link w:val="FooterNewClimatePageNumberChar"/>
    <w:rsid w:val="00601256"/>
    <w:pPr>
      <w:numPr>
        <w:numId w:val="12"/>
      </w:numPr>
      <w:tabs>
        <w:tab w:val="clear" w:pos="4703"/>
        <w:tab w:val="clear" w:pos="9406"/>
        <w:tab w:val="center" w:pos="284"/>
        <w:tab w:val="right" w:pos="9026"/>
      </w:tabs>
      <w:spacing w:line="288" w:lineRule="auto"/>
      <w:jc w:val="left"/>
    </w:pPr>
    <w:rPr>
      <w:rFonts w:ascii="Arial" w:hAnsi="Arial"/>
      <w:color w:val="44546A" w:themeColor="text2"/>
      <w:szCs w:val="20"/>
    </w:rPr>
  </w:style>
  <w:style w:type="character" w:customStyle="1" w:styleId="FooterNewClimateMonthYearChar">
    <w:name w:val="Footer_NewClimate_MonthYear Char"/>
    <w:basedOn w:val="FooterChar"/>
    <w:link w:val="FooterNewClimateMonthYear"/>
    <w:rsid w:val="00601256"/>
    <w:rPr>
      <w:rFonts w:ascii="Arial" w:eastAsiaTheme="minorEastAsia" w:hAnsi="Arial"/>
      <w:color w:val="44546A" w:themeColor="text2"/>
      <w:sz w:val="20"/>
      <w:szCs w:val="20"/>
      <w:lang w:val="en-GB"/>
    </w:rPr>
  </w:style>
  <w:style w:type="character" w:customStyle="1" w:styleId="FooterNewClimatePageNumberChar">
    <w:name w:val="Footer_NewClimate_PageNumber Char"/>
    <w:basedOn w:val="FooterChar"/>
    <w:link w:val="FooterNewClimatePageNumber"/>
    <w:rsid w:val="00601256"/>
    <w:rPr>
      <w:rFonts w:ascii="Arial" w:eastAsiaTheme="minorEastAsia" w:hAnsi="Arial"/>
      <w:color w:val="44546A" w:themeColor="text2"/>
      <w:sz w:val="20"/>
      <w:szCs w:val="20"/>
      <w:lang w:val="en-GB"/>
    </w:rPr>
  </w:style>
  <w:style w:type="table" w:styleId="GridTable1Light">
    <w:name w:val="Grid Table 1 Light"/>
    <w:basedOn w:val="TableNormal"/>
    <w:uiPriority w:val="46"/>
    <w:rsid w:val="00601256"/>
    <w:pPr>
      <w:spacing w:after="0" w:line="240" w:lineRule="auto"/>
    </w:pPr>
    <w:rPr>
      <w:lang w:val="de-D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01256"/>
    <w:pPr>
      <w:numPr>
        <w:numId w:val="0"/>
      </w:numPr>
      <w:spacing w:before="240" w:after="0" w:line="259" w:lineRule="auto"/>
      <w:jc w:val="left"/>
      <w:outlineLvl w:val="9"/>
    </w:pPr>
    <w:rPr>
      <w:rFonts w:asciiTheme="majorHAnsi" w:hAnsiTheme="majorHAnsi"/>
      <w:color w:val="2E74B5" w:themeColor="accent1" w:themeShade="BF"/>
      <w:lang w:val="en-US"/>
    </w:rPr>
  </w:style>
  <w:style w:type="table" w:styleId="GridTable1Light-Accent3">
    <w:name w:val="Grid Table 1 Light Accent 3"/>
    <w:basedOn w:val="TableNormal"/>
    <w:uiPriority w:val="46"/>
    <w:rsid w:val="008E56E0"/>
    <w:pPr>
      <w:spacing w:after="0" w:line="240" w:lineRule="auto"/>
    </w:pPr>
    <w:rPr>
      <w:lang w:val="de-DE"/>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8F2ED5"/>
    <w:pPr>
      <w:spacing w:after="0" w:line="240" w:lineRule="auto"/>
    </w:pPr>
    <w:rPr>
      <w:lang w:val="de-DE"/>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311">
    <w:name w:val="Grid Table 1 Light - Accent 311"/>
    <w:basedOn w:val="TableNormal"/>
    <w:next w:val="GridTable1Light-Accent3"/>
    <w:uiPriority w:val="46"/>
    <w:rsid w:val="008F2ED5"/>
    <w:pPr>
      <w:spacing w:after="0" w:line="240" w:lineRule="auto"/>
    </w:pPr>
    <w:rPr>
      <w:lang w:val="de-DE"/>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2">
    <w:name w:val="Plain Table 2"/>
    <w:basedOn w:val="TableNormal"/>
    <w:uiPriority w:val="42"/>
    <w:rsid w:val="00345FA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681637">
      <w:bodyDiv w:val="1"/>
      <w:marLeft w:val="0"/>
      <w:marRight w:val="0"/>
      <w:marTop w:val="0"/>
      <w:marBottom w:val="0"/>
      <w:divBdr>
        <w:top w:val="none" w:sz="0" w:space="0" w:color="auto"/>
        <w:left w:val="none" w:sz="0" w:space="0" w:color="auto"/>
        <w:bottom w:val="none" w:sz="0" w:space="0" w:color="auto"/>
        <w:right w:val="none" w:sz="0" w:space="0" w:color="auto"/>
      </w:divBdr>
      <w:divsChild>
        <w:div w:id="2005932971">
          <w:marLeft w:val="0"/>
          <w:marRight w:val="0"/>
          <w:marTop w:val="0"/>
          <w:marBottom w:val="0"/>
          <w:divBdr>
            <w:top w:val="none" w:sz="0" w:space="0" w:color="auto"/>
            <w:left w:val="none" w:sz="0" w:space="0" w:color="auto"/>
            <w:bottom w:val="none" w:sz="0" w:space="0" w:color="auto"/>
            <w:right w:val="none" w:sz="0" w:space="0" w:color="auto"/>
          </w:divBdr>
        </w:div>
      </w:divsChild>
    </w:div>
    <w:div w:id="584843948">
      <w:bodyDiv w:val="1"/>
      <w:marLeft w:val="0"/>
      <w:marRight w:val="0"/>
      <w:marTop w:val="0"/>
      <w:marBottom w:val="0"/>
      <w:divBdr>
        <w:top w:val="none" w:sz="0" w:space="0" w:color="auto"/>
        <w:left w:val="none" w:sz="0" w:space="0" w:color="auto"/>
        <w:bottom w:val="none" w:sz="0" w:space="0" w:color="auto"/>
        <w:right w:val="none" w:sz="0" w:space="0" w:color="auto"/>
      </w:divBdr>
      <w:divsChild>
        <w:div w:id="1167860552">
          <w:marLeft w:val="0"/>
          <w:marRight w:val="0"/>
          <w:marTop w:val="0"/>
          <w:marBottom w:val="0"/>
          <w:divBdr>
            <w:top w:val="none" w:sz="0" w:space="0" w:color="auto"/>
            <w:left w:val="none" w:sz="0" w:space="0" w:color="auto"/>
            <w:bottom w:val="none" w:sz="0" w:space="0" w:color="auto"/>
            <w:right w:val="none" w:sz="0" w:space="0" w:color="auto"/>
          </w:divBdr>
        </w:div>
      </w:divsChild>
    </w:div>
    <w:div w:id="926689103">
      <w:bodyDiv w:val="1"/>
      <w:marLeft w:val="0"/>
      <w:marRight w:val="0"/>
      <w:marTop w:val="0"/>
      <w:marBottom w:val="0"/>
      <w:divBdr>
        <w:top w:val="none" w:sz="0" w:space="0" w:color="auto"/>
        <w:left w:val="none" w:sz="0" w:space="0" w:color="auto"/>
        <w:bottom w:val="none" w:sz="0" w:space="0" w:color="auto"/>
        <w:right w:val="none" w:sz="0" w:space="0" w:color="auto"/>
      </w:divBdr>
      <w:divsChild>
        <w:div w:id="2106530359">
          <w:marLeft w:val="0"/>
          <w:marRight w:val="0"/>
          <w:marTop w:val="0"/>
          <w:marBottom w:val="0"/>
          <w:divBdr>
            <w:top w:val="none" w:sz="0" w:space="0" w:color="auto"/>
            <w:left w:val="none" w:sz="0" w:space="0" w:color="auto"/>
            <w:bottom w:val="none" w:sz="0" w:space="0" w:color="auto"/>
            <w:right w:val="none" w:sz="0" w:space="0" w:color="auto"/>
          </w:divBdr>
        </w:div>
      </w:divsChild>
    </w:div>
    <w:div w:id="1191410428">
      <w:bodyDiv w:val="1"/>
      <w:marLeft w:val="0"/>
      <w:marRight w:val="0"/>
      <w:marTop w:val="0"/>
      <w:marBottom w:val="0"/>
      <w:divBdr>
        <w:top w:val="none" w:sz="0" w:space="0" w:color="auto"/>
        <w:left w:val="none" w:sz="0" w:space="0" w:color="auto"/>
        <w:bottom w:val="none" w:sz="0" w:space="0" w:color="auto"/>
        <w:right w:val="none" w:sz="0" w:space="0" w:color="auto"/>
      </w:divBdr>
    </w:div>
    <w:div w:id="1494560971">
      <w:bodyDiv w:val="1"/>
      <w:marLeft w:val="0"/>
      <w:marRight w:val="0"/>
      <w:marTop w:val="0"/>
      <w:marBottom w:val="0"/>
      <w:divBdr>
        <w:top w:val="none" w:sz="0" w:space="0" w:color="auto"/>
        <w:left w:val="none" w:sz="0" w:space="0" w:color="auto"/>
        <w:bottom w:val="none" w:sz="0" w:space="0" w:color="auto"/>
        <w:right w:val="none" w:sz="0" w:space="0" w:color="auto"/>
      </w:divBdr>
      <w:divsChild>
        <w:div w:id="2011984603">
          <w:marLeft w:val="0"/>
          <w:marRight w:val="0"/>
          <w:marTop w:val="0"/>
          <w:marBottom w:val="0"/>
          <w:divBdr>
            <w:top w:val="none" w:sz="0" w:space="0" w:color="auto"/>
            <w:left w:val="none" w:sz="0" w:space="0" w:color="auto"/>
            <w:bottom w:val="none" w:sz="0" w:space="0" w:color="auto"/>
            <w:right w:val="none" w:sz="0" w:space="0" w:color="auto"/>
          </w:divBdr>
        </w:div>
      </w:divsChild>
    </w:div>
    <w:div w:id="1725520587">
      <w:bodyDiv w:val="1"/>
      <w:marLeft w:val="0"/>
      <w:marRight w:val="0"/>
      <w:marTop w:val="0"/>
      <w:marBottom w:val="0"/>
      <w:divBdr>
        <w:top w:val="none" w:sz="0" w:space="0" w:color="auto"/>
        <w:left w:val="none" w:sz="0" w:space="0" w:color="auto"/>
        <w:bottom w:val="none" w:sz="0" w:space="0" w:color="auto"/>
        <w:right w:val="none" w:sz="0" w:space="0" w:color="auto"/>
      </w:divBdr>
      <w:divsChild>
        <w:div w:id="83429160">
          <w:marLeft w:val="0"/>
          <w:marRight w:val="0"/>
          <w:marTop w:val="0"/>
          <w:marBottom w:val="0"/>
          <w:divBdr>
            <w:top w:val="none" w:sz="0" w:space="0" w:color="auto"/>
            <w:left w:val="none" w:sz="0" w:space="0" w:color="auto"/>
            <w:bottom w:val="none" w:sz="0" w:space="0" w:color="auto"/>
            <w:right w:val="none" w:sz="0" w:space="0" w:color="auto"/>
          </w:divBdr>
        </w:div>
      </w:divsChild>
    </w:div>
    <w:div w:id="190922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imate-laws.org/" TargetMode="External"/><Relationship Id="rId18" Type="http://schemas.openxmlformats.org/officeDocument/2006/relationships/hyperlink" Target="https://edb.wto.org/" TargetMode="External"/><Relationship Id="rId26" Type="http://schemas.openxmlformats.org/officeDocument/2006/relationships/hyperlink" Target="https://www.iea-coal.org/library/emission-standards/" TargetMode="External"/><Relationship Id="rId39" Type="http://schemas.openxmlformats.org/officeDocument/2006/relationships/hyperlink" Target="https://www.dieselnet.com/standards/" TargetMode="External"/><Relationship Id="rId21" Type="http://schemas.openxmlformats.org/officeDocument/2006/relationships/hyperlink" Target="http://www.gbpn.org/databases-tools" TargetMode="External"/><Relationship Id="rId34" Type="http://schemas.openxmlformats.org/officeDocument/2006/relationships/hyperlink" Target="https://newclimate.org/wp-content/uploads/2016/11/161103_marrakech-policy-brief_main.pdf" TargetMode="External"/><Relationship Id="rId42" Type="http://schemas.openxmlformats.org/officeDocument/2006/relationships/hyperlink" Target="https://climateactiontracker.org/documents/398/CAT_2018-11-27_ScalingUp_SouthAfrica_FullReport.pdf" TargetMode="External"/><Relationship Id="rId47" Type="http://schemas.openxmlformats.org/officeDocument/2006/relationships/hyperlink" Target="https://climateactiontracker.org/documents/540/CAT_2019-09-05_ScalingUp_ARGENTINA_FullReport_ENG.pdf" TargetMode="External"/><Relationship Id="rId50" Type="http://schemas.openxmlformats.org/officeDocument/2006/relationships/image" Target="media/image1.png"/><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hemasites.pbl.nl/commit/wp-content/uploads/COMMIT-Long-term-Low-emission-pathways-in-Australia-Brazil-Canada-China-EU-India-Indonesia-Japan-Republic-of-Korea-Russia-USA-2.pdf" TargetMode="External"/><Relationship Id="rId29" Type="http://schemas.openxmlformats.org/officeDocument/2006/relationships/hyperlink" Target="https://stats.oecd.org/Index.aspx?DataSetCode=EPS" TargetMode="External"/><Relationship Id="rId11" Type="http://schemas.openxmlformats.org/officeDocument/2006/relationships/hyperlink" Target="https://newclimate.org/wp-content/uploads/2018/12/PBL-CLIMA-2018_final_rev.pdf" TargetMode="External"/><Relationship Id="rId24" Type="http://schemas.openxmlformats.org/officeDocument/2006/relationships/hyperlink" Target="https://www.iea.org/policies" TargetMode="External"/><Relationship Id="rId32" Type="http://schemas.openxmlformats.org/officeDocument/2006/relationships/hyperlink" Target="https://newclimate.org/wp-content/uploads/2018/04/ec-pbl_fact-sheet_currentpolicies_2017_final3b.pdf" TargetMode="External"/><Relationship Id="rId37" Type="http://schemas.openxmlformats.org/officeDocument/2006/relationships/hyperlink" Target="https://www.ren21.net/reports/global-status-report/" TargetMode="External"/><Relationship Id="rId40" Type="http://schemas.openxmlformats.org/officeDocument/2006/relationships/hyperlink" Target="https://climateactiontracker.org/documents/505/CAT_2018-12-06_ScalingUp_EU_FullReport.pdf" TargetMode="External"/><Relationship Id="rId45" Type="http://schemas.openxmlformats.org/officeDocument/2006/relationships/hyperlink" Target="http://www.dsireusa.org/" TargetMode="External"/><Relationship Id="rId53"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ecolex.org/" TargetMode="External"/><Relationship Id="rId31" Type="http://schemas.openxmlformats.org/officeDocument/2006/relationships/hyperlink" Target="http://database.aceee.org/" TargetMode="External"/><Relationship Id="rId44" Type="http://schemas.openxmlformats.org/officeDocument/2006/relationships/hyperlink" Target="https://climateactiontracker.org/documents/658/CAT_2019-10-10_ScalingUp_INDONESIA_FullReport_ENG.pdf" TargetMode="External"/><Relationship Id="rId52"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limateactiontracker.org/countries.html" TargetMode="External"/><Relationship Id="rId22" Type="http://schemas.openxmlformats.org/officeDocument/2006/relationships/hyperlink" Target="http://cait.wri.org/indc/" TargetMode="External"/><Relationship Id="rId27" Type="http://schemas.openxmlformats.org/officeDocument/2006/relationships/hyperlink" Target="https://www.oecd-ilibrary.org/taxation/taxing-energy-use-2019_058ca239-en" TargetMode="External"/><Relationship Id="rId30" Type="http://schemas.openxmlformats.org/officeDocument/2006/relationships/hyperlink" Target="https://www.climate-transparency.org/g20-climate-performance/g20report2019" TargetMode="External"/><Relationship Id="rId35" Type="http://schemas.openxmlformats.org/officeDocument/2006/relationships/hyperlink" Target="https://newclimate.org/wp-content/uploads/2018/05/PBL-CLIMA_April2018Update.pdf" TargetMode="External"/><Relationship Id="rId43" Type="http://schemas.openxmlformats.org/officeDocument/2006/relationships/hyperlink" Target="https://climateactiontracker.org/documents/672/CAT_2019-11-29_ScalingUp_TURKEY_FullReport_ENG.pdf" TargetMode="External"/><Relationship Id="rId48" Type="http://schemas.openxmlformats.org/officeDocument/2006/relationships/hyperlink" Target="http://spappssecext.worldbank.org/sites/indc/Pages/mitigation.aspx"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iea.org/policies/about" TargetMode="External"/><Relationship Id="rId3" Type="http://schemas.openxmlformats.org/officeDocument/2006/relationships/customXml" Target="../customXml/item3.xml"/><Relationship Id="rId12" Type="http://schemas.openxmlformats.org/officeDocument/2006/relationships/hyperlink" Target="https://icapcarbonaction.com/ets-map" TargetMode="External"/><Relationship Id="rId17" Type="http://schemas.openxmlformats.org/officeDocument/2006/relationships/hyperlink" Target="https://newclimate.org/2019/12/11/greenhouse-gas-mitigation-scenarios-for-major-emitting-countries-analysis-of-current-climate-policies-and-mitigation-commitments-2019-update/" TargetMode="External"/><Relationship Id="rId25" Type="http://schemas.openxmlformats.org/officeDocument/2006/relationships/hyperlink" Target="https://unfccc.int/national-communications-and-biennial-reports" TargetMode="External"/><Relationship Id="rId33" Type="http://schemas.openxmlformats.org/officeDocument/2006/relationships/hyperlink" Target="https://www.db.com/cr/en/docs/Global_Policy_Tracker_20120424.pdf" TargetMode="External"/><Relationship Id="rId38" Type="http://schemas.openxmlformats.org/officeDocument/2006/relationships/hyperlink" Target="http://www4.unfccc.int/submissions/indc/Submission%20Pages/submissions.aspx" TargetMode="External"/><Relationship Id="rId46" Type="http://schemas.openxmlformats.org/officeDocument/2006/relationships/hyperlink" Target="http://www2.oecd.org/ecoinst/queries/Default.aspx" TargetMode="External"/><Relationship Id="rId20" Type="http://schemas.openxmlformats.org/officeDocument/2006/relationships/hyperlink" Target="https://www.transportpolicy.net/" TargetMode="External"/><Relationship Id="rId41" Type="http://schemas.openxmlformats.org/officeDocument/2006/relationships/hyperlink" Target="http://www.eea.europa.eu/data-and-maps/data/climate-change-mitigation-policies-and-measures-1" TargetMode="External"/><Relationship Id="rId54"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res-legal.eu/" TargetMode="External"/><Relationship Id="rId23" Type="http://schemas.openxmlformats.org/officeDocument/2006/relationships/hyperlink" Target="https://newclimate.org/wp-content/uploads/2019/06/Mitigation_Scenarios_2019_June_Update.pdf" TargetMode="External"/><Relationship Id="rId28" Type="http://schemas.openxmlformats.org/officeDocument/2006/relationships/hyperlink" Target="https://asiapacificenergy.org/?DataSetCode=EPS" TargetMode="External"/><Relationship Id="rId36" Type="http://schemas.openxmlformats.org/officeDocument/2006/relationships/hyperlink" Target="https://climate.law.columbia.edu/content/resources" TargetMode="External"/><Relationship Id="rId49" Type="http://schemas.openxmlformats.org/officeDocument/2006/relationships/hyperlink" Target="https://stats.oecd.org/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4EF6A9D2AB1D4C95F15213820AB463" ma:contentTypeVersion="" ma:contentTypeDescription="Create a new document." ma:contentTypeScope="" ma:versionID="48480a2acdc3f790e6ddd7eee194d722">
  <xsd:schema xmlns:xsd="http://www.w3.org/2001/XMLSchema" xmlns:xs="http://www.w3.org/2001/XMLSchema" xmlns:p="http://schemas.microsoft.com/office/2006/metadata/properties" xmlns:ns2="c8e77452-3fd5-4cb8-ba6d-368639199dc7" xmlns:ns3="aa76bd91-2c4e-4caf-a959-876821feecfe" targetNamespace="http://schemas.microsoft.com/office/2006/metadata/properties" ma:root="true" ma:fieldsID="d65ed6d0ccf86af030fc5d9cc11bfb49" ns2:_="" ns3:_="">
    <xsd:import namespace="c8e77452-3fd5-4cb8-ba6d-368639199dc7"/>
    <xsd:import namespace="aa76bd91-2c4e-4caf-a959-876821feec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e77452-3fd5-4cb8-ba6d-368639199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76bd91-2c4e-4caf-a959-876821feecf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a76bd91-2c4e-4caf-a959-876821feecfe">
      <UserInfo>
        <DisplayName/>
        <AccountId xsi:nil="true"/>
        <AccountType/>
      </UserInfo>
    </SharedWithUsers>
  </documentManagement>
</p:properties>
</file>

<file path=customXml/itemProps1.xml><?xml version="1.0" encoding="utf-8"?>
<ds:datastoreItem xmlns:ds="http://schemas.openxmlformats.org/officeDocument/2006/customXml" ds:itemID="{7CD5EB9E-4AB2-4CDE-92A6-80E1D05B3AC9}">
  <ds:schemaRefs>
    <ds:schemaRef ds:uri="http://schemas.openxmlformats.org/officeDocument/2006/bibliography"/>
  </ds:schemaRefs>
</ds:datastoreItem>
</file>

<file path=customXml/itemProps2.xml><?xml version="1.0" encoding="utf-8"?>
<ds:datastoreItem xmlns:ds="http://schemas.openxmlformats.org/officeDocument/2006/customXml" ds:itemID="{EF9974E7-2BDA-494D-BB0A-3B2463555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e77452-3fd5-4cb8-ba6d-368639199dc7"/>
    <ds:schemaRef ds:uri="aa76bd91-2c4e-4caf-a959-876821feec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EF7FBA-0AFC-429E-9B8E-B269E21F1ED1}">
  <ds:schemaRefs>
    <ds:schemaRef ds:uri="http://schemas.microsoft.com/sharepoint/v3/contenttype/forms"/>
  </ds:schemaRefs>
</ds:datastoreItem>
</file>

<file path=customXml/itemProps4.xml><?xml version="1.0" encoding="utf-8"?>
<ds:datastoreItem xmlns:ds="http://schemas.openxmlformats.org/officeDocument/2006/customXml" ds:itemID="{06433E13-1A13-4A6E-B044-86A8795209EB}">
  <ds:schemaRefs>
    <ds:schemaRef ds:uri="http://schemas.microsoft.com/office/2006/metadata/properties"/>
    <ds:schemaRef ds:uri="http://schemas.microsoft.com/office/infopath/2007/PartnerControls"/>
    <ds:schemaRef ds:uri="177c0d21-8603-4dea-bf57-eabd5d6ac44f"/>
    <ds:schemaRef ds:uri="aa76bd91-2c4e-4caf-a959-876821feecf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40238</Words>
  <Characters>229363</Characters>
  <Application>Microsoft Office Word</Application>
  <DocSecurity>0</DocSecurity>
  <Lines>1911</Lines>
  <Paragraphs>538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2021-02-10T09:22:00Z</dcterms:created>
  <dcterms:modified xsi:type="dcterms:W3CDTF">2021-10-06T18:58:00Z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0x010100294EF6A9D2AB1D4C95F15213820AB463</vt:lpwstr>
  </property>
  <property fmtid="{D5CDD505-2E9C-101B-9397-08002B2CF9AE}" pid="3" name="Order">
    <vt:r8>13020500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