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1FA95" w14:textId="19A22157" w:rsidR="001D45EB" w:rsidRPr="00D25EBD" w:rsidRDefault="001D45EB" w:rsidP="00FE2C8B">
      <w:pPr>
        <w:spacing w:line="360" w:lineRule="auto"/>
        <w:jc w:val="both"/>
        <w:rPr>
          <w:lang w:val="en-US"/>
        </w:rPr>
      </w:pPr>
      <w:r w:rsidRPr="00D25EBD">
        <w:rPr>
          <w:lang w:val="en-US"/>
        </w:rPr>
        <w:t>Dear reader,</w:t>
      </w:r>
      <w:r w:rsidR="000A2435" w:rsidRPr="000A2435">
        <w:rPr>
          <w:rStyle w:val="Voetnootmarkering"/>
          <w:lang w:val="en-US"/>
        </w:rPr>
        <w:t xml:space="preserve"> </w:t>
      </w:r>
    </w:p>
    <w:p w14:paraId="1E8EC75A" w14:textId="1A5C45D6" w:rsidR="008D5CAC" w:rsidRPr="00D25EBD" w:rsidRDefault="001D45EB" w:rsidP="004F3593">
      <w:pPr>
        <w:spacing w:after="0" w:line="360" w:lineRule="auto"/>
        <w:jc w:val="both"/>
        <w:rPr>
          <w:lang w:val="en-US"/>
        </w:rPr>
      </w:pPr>
      <w:r w:rsidRPr="00D25EBD">
        <w:rPr>
          <w:lang w:val="en-US"/>
        </w:rPr>
        <w:t>This ZIP</w:t>
      </w:r>
      <w:r w:rsidR="005D0707">
        <w:rPr>
          <w:lang w:val="en-US"/>
        </w:rPr>
        <w:t>-</w:t>
      </w:r>
      <w:r w:rsidRPr="00D25EBD">
        <w:rPr>
          <w:lang w:val="en-US"/>
        </w:rPr>
        <w:t>file contains all sorts of different files. The main file is the Excel Database 'Database_IMR_NL_1878_1909'.</w:t>
      </w:r>
      <w:r w:rsidRPr="00D25EBD">
        <w:rPr>
          <w:lang w:val="en-US"/>
        </w:rPr>
        <w:t xml:space="preserve"> </w:t>
      </w:r>
      <w:r w:rsidRPr="00D25EBD">
        <w:rPr>
          <w:lang w:val="en-US"/>
        </w:rPr>
        <w:t>The accompanying STATA Do-file 'Cleaning Data' removes unknown/missing variables and, thus, makes it suitable for statistical analyses</w:t>
      </w:r>
      <w:r w:rsidR="00D950D4">
        <w:rPr>
          <w:lang w:val="en-US"/>
        </w:rPr>
        <w:t xml:space="preserve"> in STATA</w:t>
      </w:r>
      <w:r w:rsidRPr="00D25EBD">
        <w:rPr>
          <w:lang w:val="en-US"/>
        </w:rPr>
        <w:t>.</w:t>
      </w:r>
      <w:r w:rsidR="00FE2C8B" w:rsidRPr="00D25EBD">
        <w:rPr>
          <w:lang w:val="en-US"/>
        </w:rPr>
        <w:t xml:space="preserve"> </w:t>
      </w:r>
      <w:r w:rsidRPr="00D25EBD">
        <w:rPr>
          <w:lang w:val="en-US"/>
        </w:rPr>
        <w:t>The cleaned files have been combined with shapefiles from Boonstra (2007)</w:t>
      </w:r>
      <w:r w:rsidR="002117BC" w:rsidRPr="00D25EBD">
        <w:rPr>
          <w:rStyle w:val="Voetnootmarkering"/>
          <w:lang w:val="en-US"/>
        </w:rPr>
        <w:footnoteReference w:id="1"/>
      </w:r>
      <w:r w:rsidRPr="00D25EBD">
        <w:rPr>
          <w:lang w:val="en-US"/>
        </w:rPr>
        <w:t xml:space="preserve"> and these spatial datasets have been given a separate folder. These files can be used for spatial regressions.</w:t>
      </w:r>
      <w:r w:rsidR="00FE2C8B" w:rsidRPr="00D25EBD">
        <w:rPr>
          <w:lang w:val="en-US"/>
        </w:rPr>
        <w:t xml:space="preserve"> </w:t>
      </w:r>
      <w:r w:rsidRPr="00D25EBD">
        <w:rPr>
          <w:lang w:val="en-US"/>
        </w:rPr>
        <w:t xml:space="preserve">The files in the 'Weights Files' folder can be used as spatial weights as I did in my article. </w:t>
      </w:r>
      <w:r w:rsidR="00FE2C8B" w:rsidRPr="00D25EBD">
        <w:rPr>
          <w:lang w:val="en-US"/>
        </w:rPr>
        <w:t>Details about the data can be found in the article. However, this article does not contain all the necessary information</w:t>
      </w:r>
      <w:r w:rsidR="009069B4" w:rsidRPr="00D25EBD">
        <w:rPr>
          <w:lang w:val="en-US"/>
        </w:rPr>
        <w:t>!</w:t>
      </w:r>
    </w:p>
    <w:p w14:paraId="64EB9735" w14:textId="7C9D6E87" w:rsidR="001B2C6B" w:rsidRDefault="00A07884" w:rsidP="001B2C6B">
      <w:pPr>
        <w:spacing w:after="0" w:line="360" w:lineRule="auto"/>
        <w:ind w:firstLine="708"/>
        <w:jc w:val="both"/>
        <w:rPr>
          <w:sz w:val="20"/>
          <w:szCs w:val="20"/>
          <w:lang w:val="en-US"/>
        </w:rPr>
      </w:pPr>
      <w:r w:rsidRPr="00D25EBD">
        <w:rPr>
          <w:lang w:val="en-US"/>
        </w:rPr>
        <w:t>The number of male births for 1877 is taken from the provincial reports (</w:t>
      </w:r>
      <w:r w:rsidR="00CA483E" w:rsidRPr="00D25EBD">
        <w:rPr>
          <w:i/>
          <w:iCs/>
          <w:lang w:val="en-US"/>
        </w:rPr>
        <w:t>Provinciale verslagen</w:t>
      </w:r>
      <w:r w:rsidRPr="00D25EBD">
        <w:rPr>
          <w:lang w:val="en-US"/>
        </w:rPr>
        <w:t>), from statistics of the Ministry of the Interior for the years 1878 and 1879 (Ministerie van Binnenlandsche Zaken, 1880; 1882) and for the period 1908-1910 the works of Statistics Netherlands are used (CBS, 1909; 1910; 1911).</w:t>
      </w:r>
      <w:r w:rsidR="00C85B9E">
        <w:rPr>
          <w:sz w:val="20"/>
          <w:szCs w:val="20"/>
          <w:lang w:val="en-US"/>
        </w:rPr>
        <w:t xml:space="preserve"> </w:t>
      </w:r>
      <w:r w:rsidR="00C85B9E">
        <w:rPr>
          <w:lang w:val="en-US"/>
        </w:rPr>
        <w:t>For s</w:t>
      </w:r>
      <w:r w:rsidR="00384E31" w:rsidRPr="00D25EBD">
        <w:rPr>
          <w:lang w:val="en-US"/>
        </w:rPr>
        <w:t>tillbirths</w:t>
      </w:r>
      <w:r w:rsidR="00C85B9E">
        <w:rPr>
          <w:lang w:val="en-US"/>
        </w:rPr>
        <w:t>,</w:t>
      </w:r>
      <w:r w:rsidR="00AE626B" w:rsidRPr="00D25EBD">
        <w:rPr>
          <w:lang w:val="en-US"/>
        </w:rPr>
        <w:t xml:space="preserve"> e</w:t>
      </w:r>
      <w:r w:rsidR="00384E31" w:rsidRPr="00D25EBD">
        <w:rPr>
          <w:lang w:val="en-US"/>
        </w:rPr>
        <w:t>xactly the same sources are used as in the case of the IMR.</w:t>
      </w:r>
      <w:r w:rsidR="00F50053" w:rsidRPr="00D25EBD">
        <w:rPr>
          <w:lang w:val="en-US"/>
        </w:rPr>
        <w:t xml:space="preserve"> </w:t>
      </w:r>
      <w:r w:rsidR="00CF5B1B" w:rsidRPr="00D25EBD">
        <w:rPr>
          <w:lang w:val="en-US"/>
        </w:rPr>
        <w:t>All</w:t>
      </w:r>
      <w:r w:rsidR="00F50053" w:rsidRPr="00D25EBD">
        <w:rPr>
          <w:lang w:val="en-US"/>
        </w:rPr>
        <w:t xml:space="preserve"> migration numbers are derived from the Historical Database of Dutch Municipalities (HDNG)</w:t>
      </w:r>
      <w:r w:rsidR="00EA3131" w:rsidRPr="00D25EBD">
        <w:rPr>
          <w:lang w:val="en-US"/>
        </w:rPr>
        <w:t>.</w:t>
      </w:r>
      <w:r w:rsidR="001A03C9" w:rsidRPr="00D25EBD">
        <w:rPr>
          <w:lang w:val="en-US"/>
        </w:rPr>
        <w:t xml:space="preserve"> </w:t>
      </w:r>
      <w:r w:rsidR="001A03C9" w:rsidRPr="00D25EBD">
        <w:rPr>
          <w:lang w:val="en-US"/>
        </w:rPr>
        <w:t>The number of eligible voters</w:t>
      </w:r>
      <w:r w:rsidR="00103010" w:rsidRPr="00D25EBD">
        <w:rPr>
          <w:lang w:val="en-US"/>
        </w:rPr>
        <w:t xml:space="preserve"> for municipal elections</w:t>
      </w:r>
      <w:r w:rsidR="001A03C9" w:rsidRPr="00D25EBD">
        <w:rPr>
          <w:lang w:val="en-US"/>
        </w:rPr>
        <w:t xml:space="preserve"> is taken from the provincial reports of 1878 and 1909</w:t>
      </w:r>
      <w:r w:rsidR="004617BE" w:rsidRPr="00D25EBD">
        <w:rPr>
          <w:lang w:val="en-US"/>
        </w:rPr>
        <w:t xml:space="preserve"> (</w:t>
      </w:r>
      <w:r w:rsidR="004617BE" w:rsidRPr="00D25EBD">
        <w:rPr>
          <w:i/>
          <w:iCs/>
          <w:lang w:val="en-US"/>
        </w:rPr>
        <w:t>Provinciale verslagen</w:t>
      </w:r>
      <w:r w:rsidR="004617BE" w:rsidRPr="00D25EBD">
        <w:rPr>
          <w:lang w:val="en-US"/>
        </w:rPr>
        <w:t>)</w:t>
      </w:r>
      <w:r w:rsidR="007C21B6" w:rsidRPr="00D25EBD">
        <w:rPr>
          <w:lang w:val="en-US"/>
        </w:rPr>
        <w:t>.</w:t>
      </w:r>
      <w:r w:rsidR="002907CC" w:rsidRPr="00D25EBD">
        <w:rPr>
          <w:lang w:val="en-US"/>
        </w:rPr>
        <w:t xml:space="preserve"> </w:t>
      </w:r>
      <w:r w:rsidR="002907CC" w:rsidRPr="00D25EBD">
        <w:rPr>
          <w:lang w:val="en-US"/>
        </w:rPr>
        <w:t xml:space="preserve">The number of people working in agriculture and fishing </w:t>
      </w:r>
      <w:r w:rsidR="006755D0" w:rsidRPr="00D25EBD">
        <w:rPr>
          <w:lang w:val="en-US"/>
        </w:rPr>
        <w:t>(</w:t>
      </w:r>
      <w:r w:rsidR="006755D0" w:rsidRPr="00D25EBD">
        <w:rPr>
          <w:lang w:val="en-US"/>
        </w:rPr>
        <w:t>Emp_Food_Prod</w:t>
      </w:r>
      <w:r w:rsidR="006755D0" w:rsidRPr="00D25EBD">
        <w:rPr>
          <w:lang w:val="en-US"/>
        </w:rPr>
        <w:t xml:space="preserve">) </w:t>
      </w:r>
      <w:r w:rsidR="002907CC" w:rsidRPr="00D25EBD">
        <w:rPr>
          <w:lang w:val="en-US"/>
        </w:rPr>
        <w:t xml:space="preserve">is taken from the 1909 occupation census and </w:t>
      </w:r>
      <w:r w:rsidR="00387204" w:rsidRPr="00D25EBD">
        <w:rPr>
          <w:lang w:val="en-US"/>
        </w:rPr>
        <w:t xml:space="preserve">the same applies to the unemployment rate </w:t>
      </w:r>
      <w:r w:rsidR="002907CC" w:rsidRPr="00D25EBD">
        <w:rPr>
          <w:lang w:val="en-US"/>
        </w:rPr>
        <w:t>(CBS, 1912).</w:t>
      </w:r>
      <w:r w:rsidR="00387204" w:rsidRPr="00D25EBD">
        <w:rPr>
          <w:lang w:val="en-US"/>
        </w:rPr>
        <w:t xml:space="preserve"> </w:t>
      </w:r>
      <w:r w:rsidR="00193455" w:rsidRPr="00D25EBD">
        <w:rPr>
          <w:lang w:val="en-US"/>
        </w:rPr>
        <w:t xml:space="preserve">Lastly, </w:t>
      </w:r>
      <w:r w:rsidR="0071700C" w:rsidRPr="00D25EBD">
        <w:rPr>
          <w:lang w:val="en-US"/>
        </w:rPr>
        <w:t>‘</w:t>
      </w:r>
      <w:r w:rsidR="00193455" w:rsidRPr="00D25EBD">
        <w:rPr>
          <w:lang w:val="en-US"/>
        </w:rPr>
        <w:t>Economic_Region</w:t>
      </w:r>
      <w:r w:rsidR="0071700C" w:rsidRPr="00D25EBD">
        <w:rPr>
          <w:lang w:val="en-US"/>
        </w:rPr>
        <w:t>’</w:t>
      </w:r>
      <w:r w:rsidR="00193455" w:rsidRPr="00D25EBD">
        <w:rPr>
          <w:lang w:val="en-US"/>
        </w:rPr>
        <w:t xml:space="preserve"> </w:t>
      </w:r>
      <w:r w:rsidR="009E4329">
        <w:rPr>
          <w:lang w:val="en-US"/>
        </w:rPr>
        <w:t xml:space="preserve">refers </w:t>
      </w:r>
      <w:r w:rsidR="0071700C" w:rsidRPr="00D25EBD">
        <w:rPr>
          <w:lang w:val="en-US"/>
        </w:rPr>
        <w:t xml:space="preserve">to the </w:t>
      </w:r>
      <w:r w:rsidR="0071700C" w:rsidRPr="00D25EBD">
        <w:rPr>
          <w:lang w:val="en-US"/>
        </w:rPr>
        <w:t xml:space="preserve">division </w:t>
      </w:r>
      <w:r w:rsidR="0071700C" w:rsidRPr="00D25EBD">
        <w:rPr>
          <w:lang w:val="en-US"/>
        </w:rPr>
        <w:t xml:space="preserve">of the Netherlands </w:t>
      </w:r>
      <w:r w:rsidR="0071700C" w:rsidRPr="00D25EBD">
        <w:rPr>
          <w:lang w:val="en-US"/>
        </w:rPr>
        <w:t>into 42 economic-geographical areas</w:t>
      </w:r>
      <w:r w:rsidR="0071700C" w:rsidRPr="00D25EBD">
        <w:rPr>
          <w:lang w:val="en-US"/>
        </w:rPr>
        <w:t xml:space="preserve"> (see </w:t>
      </w:r>
      <w:r w:rsidR="00345B81" w:rsidRPr="00D25EBD">
        <w:rPr>
          <w:lang w:val="en-US"/>
        </w:rPr>
        <w:t xml:space="preserve">Van der Brie </w:t>
      </w:r>
      <w:r w:rsidR="00A24B3C" w:rsidRPr="00D25EBD">
        <w:rPr>
          <w:lang w:val="en-US"/>
        </w:rPr>
        <w:t>(</w:t>
      </w:r>
      <w:r w:rsidR="00345B81" w:rsidRPr="00D25EBD">
        <w:rPr>
          <w:lang w:val="en-US"/>
        </w:rPr>
        <w:t>2009)</w:t>
      </w:r>
      <w:r w:rsidR="00A24B3C" w:rsidRPr="00D25EBD">
        <w:rPr>
          <w:lang w:val="en-US"/>
        </w:rPr>
        <w:t xml:space="preserve"> for a </w:t>
      </w:r>
      <w:r w:rsidR="007C7B81">
        <w:rPr>
          <w:lang w:val="en-US"/>
        </w:rPr>
        <w:t>discussion</w:t>
      </w:r>
      <w:r w:rsidR="00A24B3C" w:rsidRPr="00D25EBD">
        <w:rPr>
          <w:lang w:val="en-US"/>
        </w:rPr>
        <w:t xml:space="preserve"> of this division).</w:t>
      </w:r>
      <w:r w:rsidR="006D34DD" w:rsidRPr="00D25EBD">
        <w:rPr>
          <w:lang w:val="en-US"/>
        </w:rPr>
        <w:t xml:space="preserve"> </w:t>
      </w:r>
      <w:r w:rsidR="002F0AF8" w:rsidRPr="00D25EBD">
        <w:rPr>
          <w:lang w:val="en-US"/>
        </w:rPr>
        <w:t>Lastly, ‘</w:t>
      </w:r>
      <w:r w:rsidR="002F0AF8" w:rsidRPr="00D25EBD">
        <w:rPr>
          <w:lang w:val="en-US"/>
        </w:rPr>
        <w:t>-8888/-9999</w:t>
      </w:r>
      <w:r w:rsidR="002F0AF8" w:rsidRPr="00D25EBD">
        <w:rPr>
          <w:lang w:val="en-US"/>
        </w:rPr>
        <w:t>’</w:t>
      </w:r>
      <w:r w:rsidR="00B67709">
        <w:rPr>
          <w:lang w:val="en-US"/>
        </w:rPr>
        <w:t xml:space="preserve"> in the Excel file</w:t>
      </w:r>
      <w:r w:rsidR="002F0AF8" w:rsidRPr="00D25EBD">
        <w:rPr>
          <w:lang w:val="en-US"/>
        </w:rPr>
        <w:t xml:space="preserve"> indicate</w:t>
      </w:r>
      <w:r w:rsidR="002F0AF8" w:rsidRPr="00D25EBD">
        <w:rPr>
          <w:lang w:val="en-US"/>
        </w:rPr>
        <w:t>s</w:t>
      </w:r>
      <w:r w:rsidR="002F0AF8" w:rsidRPr="00D25EBD">
        <w:rPr>
          <w:lang w:val="en-US"/>
        </w:rPr>
        <w:t xml:space="preserve"> </w:t>
      </w:r>
      <w:r w:rsidR="006D591D" w:rsidRPr="00D25EBD">
        <w:rPr>
          <w:lang w:val="en-US"/>
        </w:rPr>
        <w:t xml:space="preserve">the value </w:t>
      </w:r>
      <w:r w:rsidR="002F0AF8" w:rsidRPr="00D25EBD">
        <w:rPr>
          <w:lang w:val="en-US"/>
        </w:rPr>
        <w:t>is unknown/not present/unclear</w:t>
      </w:r>
      <w:r w:rsidR="00E6193A" w:rsidRPr="00D25EBD">
        <w:rPr>
          <w:lang w:val="en-US"/>
        </w:rPr>
        <w:t>.</w:t>
      </w:r>
    </w:p>
    <w:p w14:paraId="5BE6C01A" w14:textId="77777777" w:rsidR="001B2C6B" w:rsidRDefault="001B2C6B" w:rsidP="001B2C6B">
      <w:pPr>
        <w:spacing w:after="0" w:line="360" w:lineRule="auto"/>
        <w:jc w:val="both"/>
        <w:rPr>
          <w:lang w:val="en-US"/>
        </w:rPr>
      </w:pPr>
    </w:p>
    <w:p w14:paraId="246819E6" w14:textId="49F829F4" w:rsidR="001B2C6B" w:rsidRDefault="001D45EB" w:rsidP="001B2C6B">
      <w:pPr>
        <w:spacing w:after="0" w:line="360" w:lineRule="auto"/>
        <w:jc w:val="both"/>
        <w:rPr>
          <w:sz w:val="20"/>
          <w:szCs w:val="20"/>
          <w:lang w:val="en-US"/>
        </w:rPr>
      </w:pPr>
      <w:r w:rsidRPr="001D45EB">
        <w:rPr>
          <w:lang w:val="en-US"/>
        </w:rPr>
        <w:t xml:space="preserve">For any </w:t>
      </w:r>
      <w:r w:rsidR="00D61F68">
        <w:rPr>
          <w:lang w:val="en-US"/>
        </w:rPr>
        <w:t>questions</w:t>
      </w:r>
      <w:r w:rsidRPr="001D45EB">
        <w:rPr>
          <w:lang w:val="en-US"/>
        </w:rPr>
        <w:t>, you can contact me personally</w:t>
      </w:r>
      <w:r w:rsidR="00DE1EFE">
        <w:rPr>
          <w:lang w:val="en-US"/>
        </w:rPr>
        <w:t>:</w:t>
      </w:r>
      <w:r w:rsidRPr="001D45EB">
        <w:rPr>
          <w:lang w:val="en-US"/>
        </w:rPr>
        <w:t xml:space="preserve"> </w:t>
      </w:r>
      <w:hyperlink r:id="rId7" w:history="1">
        <w:r w:rsidR="001B2C6B" w:rsidRPr="007F7214">
          <w:rPr>
            <w:rStyle w:val="Hyperlink"/>
            <w:lang w:val="en-US"/>
          </w:rPr>
          <w:t>e.t.jansma@gmail.com</w:t>
        </w:r>
      </w:hyperlink>
    </w:p>
    <w:p w14:paraId="61E419E2" w14:textId="2FDF8DCD" w:rsidR="00051CDC" w:rsidRPr="001B2C6B" w:rsidRDefault="001D45EB" w:rsidP="001B2C6B">
      <w:pPr>
        <w:spacing w:line="360" w:lineRule="auto"/>
        <w:jc w:val="both"/>
        <w:rPr>
          <w:sz w:val="20"/>
          <w:szCs w:val="20"/>
          <w:lang w:val="en-US"/>
        </w:rPr>
      </w:pPr>
      <w:r w:rsidRPr="001D45EB">
        <w:rPr>
          <w:lang w:val="en-US"/>
        </w:rPr>
        <w:t>I would also appreciate if you contact me if you f</w:t>
      </w:r>
      <w:r w:rsidR="003C3C4C">
        <w:rPr>
          <w:lang w:val="en-US"/>
        </w:rPr>
        <w:t>i</w:t>
      </w:r>
      <w:r w:rsidRPr="001D45EB">
        <w:rPr>
          <w:lang w:val="en-US"/>
        </w:rPr>
        <w:t>nd mistakes in the data!</w:t>
      </w:r>
    </w:p>
    <w:sectPr w:rsidR="00051CDC" w:rsidRPr="001B2C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77C4DE" w14:textId="77777777" w:rsidR="009044EC" w:rsidRDefault="009044EC" w:rsidP="003622EB">
      <w:pPr>
        <w:spacing w:after="0" w:line="240" w:lineRule="auto"/>
      </w:pPr>
      <w:r>
        <w:separator/>
      </w:r>
    </w:p>
  </w:endnote>
  <w:endnote w:type="continuationSeparator" w:id="0">
    <w:p w14:paraId="6014E4FE" w14:textId="77777777" w:rsidR="009044EC" w:rsidRDefault="009044EC" w:rsidP="00362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81F45" w14:textId="77777777" w:rsidR="009044EC" w:rsidRDefault="009044EC" w:rsidP="003622EB">
      <w:pPr>
        <w:spacing w:after="0" w:line="240" w:lineRule="auto"/>
      </w:pPr>
      <w:r>
        <w:separator/>
      </w:r>
    </w:p>
  </w:footnote>
  <w:footnote w:type="continuationSeparator" w:id="0">
    <w:p w14:paraId="4DC91AAE" w14:textId="77777777" w:rsidR="009044EC" w:rsidRDefault="009044EC" w:rsidP="003622EB">
      <w:pPr>
        <w:spacing w:after="0" w:line="240" w:lineRule="auto"/>
      </w:pPr>
      <w:r>
        <w:continuationSeparator/>
      </w:r>
    </w:p>
  </w:footnote>
  <w:footnote w:id="1">
    <w:p w14:paraId="2FD381C4" w14:textId="77777777" w:rsidR="002117BC" w:rsidRPr="00EF0492" w:rsidRDefault="002117BC" w:rsidP="002117BC">
      <w:pPr>
        <w:spacing w:after="0" w:line="240" w:lineRule="auto"/>
        <w:ind w:left="709" w:hanging="709"/>
        <w:jc w:val="both"/>
        <w:rPr>
          <w:rFonts w:cstheme="minorHAnsi"/>
        </w:rPr>
      </w:pPr>
      <w:r w:rsidRPr="00EF0492">
        <w:rPr>
          <w:rStyle w:val="Voetnootmarkering"/>
          <w:rFonts w:cstheme="minorHAnsi"/>
        </w:rPr>
        <w:footnoteRef/>
      </w:r>
      <w:r w:rsidRPr="00EF0492">
        <w:rPr>
          <w:rFonts w:cstheme="minorHAnsi"/>
          <w:lang w:val="en-US"/>
        </w:rPr>
        <w:t xml:space="preserve"> </w:t>
      </w:r>
      <w:r w:rsidRPr="007620A6">
        <w:rPr>
          <w:rFonts w:cstheme="minorHAnsi"/>
          <w:sz w:val="20"/>
          <w:szCs w:val="20"/>
          <w:lang w:val="en-GB"/>
        </w:rPr>
        <w:t xml:space="preserve">Boonstra, O.W.A. (2007). </w:t>
      </w:r>
      <w:r w:rsidRPr="007620A6">
        <w:rPr>
          <w:rFonts w:cstheme="minorHAnsi"/>
          <w:i/>
          <w:iCs/>
          <w:sz w:val="20"/>
          <w:szCs w:val="20"/>
          <w:lang w:val="en-GB"/>
        </w:rPr>
        <w:t>NLGis shapefiles</w:t>
      </w:r>
      <w:r w:rsidRPr="007620A6">
        <w:rPr>
          <w:rFonts w:cstheme="minorHAnsi"/>
          <w:sz w:val="20"/>
          <w:szCs w:val="20"/>
          <w:lang w:val="en-GB"/>
        </w:rPr>
        <w:t xml:space="preserve">. </w:t>
      </w:r>
      <w:r w:rsidRPr="007620A6">
        <w:rPr>
          <w:rFonts w:cstheme="minorHAnsi"/>
          <w:sz w:val="20"/>
          <w:szCs w:val="20"/>
        </w:rPr>
        <w:t xml:space="preserve">DANS. </w:t>
      </w:r>
      <w:hyperlink r:id="rId1" w:history="1">
        <w:r w:rsidRPr="007620A6">
          <w:rPr>
            <w:rStyle w:val="Hyperlink"/>
            <w:rFonts w:cstheme="minorHAnsi"/>
            <w:sz w:val="20"/>
            <w:szCs w:val="20"/>
          </w:rPr>
          <w:t>https://doi.org/10.17026/dans-xb9-t677</w:t>
        </w:r>
      </w:hyperlink>
    </w:p>
    <w:p w14:paraId="60260F13" w14:textId="77777777" w:rsidR="002117BC" w:rsidRPr="008A43C6" w:rsidRDefault="002117BC" w:rsidP="002117BC">
      <w:pPr>
        <w:spacing w:after="0" w:line="240" w:lineRule="auto"/>
        <w:ind w:left="709" w:hanging="709"/>
        <w:jc w:val="both"/>
        <w:rPr>
          <w:rFonts w:eastAsiaTheme="minorEastAsia" w:cstheme="minorHAnsi"/>
          <w:sz w:val="20"/>
          <w:szCs w:val="20"/>
        </w:rPr>
      </w:pPr>
      <w:r w:rsidRPr="008A43C6">
        <w:rPr>
          <w:rFonts w:eastAsiaTheme="minorEastAsia" w:cstheme="minorHAnsi"/>
          <w:sz w:val="20"/>
          <w:szCs w:val="20"/>
        </w:rPr>
        <w:t xml:space="preserve">Ministerie van Binnenlandsche Zaken. (1880; 1882). </w:t>
      </w:r>
      <w:r w:rsidRPr="008A43C6">
        <w:rPr>
          <w:rFonts w:eastAsiaTheme="minorEastAsia" w:cstheme="minorHAnsi"/>
          <w:i/>
          <w:iCs/>
          <w:sz w:val="20"/>
          <w:szCs w:val="20"/>
        </w:rPr>
        <w:t>Statistiek van den loop der bevolking van Nederland over ____ (1878-1879)</w:t>
      </w:r>
      <w:r w:rsidRPr="008A43C6">
        <w:rPr>
          <w:rFonts w:eastAsiaTheme="minorEastAsia" w:cstheme="minorHAnsi"/>
          <w:sz w:val="20"/>
          <w:szCs w:val="20"/>
        </w:rPr>
        <w:t>. 's-Gravenhage: Van Weelden en Mingelen.</w:t>
      </w:r>
    </w:p>
    <w:p w14:paraId="2F1D38B3" w14:textId="77777777" w:rsidR="002117BC" w:rsidRPr="005C5EBC" w:rsidRDefault="002117BC" w:rsidP="002117BC">
      <w:pPr>
        <w:spacing w:after="0" w:line="240" w:lineRule="auto"/>
        <w:ind w:left="709" w:hanging="709"/>
        <w:jc w:val="both"/>
        <w:rPr>
          <w:rFonts w:cstheme="minorHAnsi"/>
          <w:sz w:val="20"/>
          <w:szCs w:val="20"/>
        </w:rPr>
      </w:pPr>
      <w:r w:rsidRPr="008A43C6">
        <w:rPr>
          <w:rFonts w:cstheme="minorHAnsi"/>
          <w:sz w:val="20"/>
          <w:szCs w:val="20"/>
        </w:rPr>
        <w:t xml:space="preserve">CBS. (1909-1911). </w:t>
      </w:r>
      <w:r w:rsidRPr="008A43C6">
        <w:rPr>
          <w:rFonts w:cstheme="minorHAnsi"/>
          <w:i/>
          <w:iCs/>
          <w:sz w:val="20"/>
          <w:szCs w:val="20"/>
        </w:rPr>
        <w:t>Statistiek van den loop der bevolking in Nederland over ____ (1908-1910)</w:t>
      </w:r>
      <w:r w:rsidRPr="008A43C6">
        <w:rPr>
          <w:rFonts w:cstheme="minorHAnsi"/>
          <w:sz w:val="20"/>
          <w:szCs w:val="20"/>
        </w:rPr>
        <w:t xml:space="preserve">. </w:t>
      </w:r>
      <w:r w:rsidRPr="005C5EBC">
        <w:rPr>
          <w:rFonts w:cstheme="minorHAnsi"/>
          <w:sz w:val="20"/>
          <w:szCs w:val="20"/>
        </w:rPr>
        <w:t>‘s-Gravenhage: Gebroeders Belinfante.</w:t>
      </w:r>
    </w:p>
    <w:p w14:paraId="0F14FAFB" w14:textId="77777777" w:rsidR="002117BC" w:rsidRDefault="002117BC" w:rsidP="002117BC">
      <w:pPr>
        <w:spacing w:after="0" w:line="240" w:lineRule="auto"/>
        <w:ind w:left="709" w:hanging="709"/>
        <w:jc w:val="both"/>
        <w:rPr>
          <w:rFonts w:cstheme="minorHAnsi"/>
          <w:sz w:val="20"/>
          <w:szCs w:val="20"/>
        </w:rPr>
      </w:pPr>
      <w:r w:rsidRPr="005C5EBC">
        <w:rPr>
          <w:rFonts w:cstheme="minorHAnsi"/>
          <w:sz w:val="20"/>
          <w:szCs w:val="20"/>
        </w:rPr>
        <w:t xml:space="preserve">CBS (1912). </w:t>
      </w:r>
      <w:r w:rsidRPr="005C5EBC">
        <w:rPr>
          <w:rFonts w:cstheme="minorHAnsi"/>
          <w:i/>
          <w:iCs/>
          <w:sz w:val="20"/>
          <w:szCs w:val="20"/>
        </w:rPr>
        <w:t>Uitkomsten der beroepstelling in het Koninkrijk der Nederlanden gehouden op den een en dertigsten December 1909. Overzicht voor iedere gemeente van Nederland van de voornaamste beroepen, die in de gemeente worden uitgeoefend, met opgaaf van het totaal aantal personen daarin werkzaam, naar de geslachten gesplitst, en met vermelding of dezen zijn patroons (positie A en B) of ondergeschikten (positie C en D)</w:t>
      </w:r>
      <w:r w:rsidRPr="005C5EBC">
        <w:rPr>
          <w:rFonts w:cstheme="minorHAnsi"/>
          <w:sz w:val="20"/>
          <w:szCs w:val="20"/>
        </w:rPr>
        <w:t xml:space="preserve">. ‘s-Gravenhage: Gebroeders Belinfante. Retrieved from </w:t>
      </w:r>
      <w:hyperlink r:id="rId2" w:history="1">
        <w:r w:rsidRPr="005C5EBC">
          <w:rPr>
            <w:rStyle w:val="Hyperlink"/>
            <w:rFonts w:cstheme="minorHAnsi"/>
            <w:sz w:val="20"/>
            <w:szCs w:val="20"/>
          </w:rPr>
          <w:t>http://www.volkstellingen.nl/nl/volkstelling/jaartellingdeelview/BRT190901/index.html</w:t>
        </w:r>
      </w:hyperlink>
      <w:r w:rsidRPr="005C5EBC">
        <w:rPr>
          <w:rFonts w:cstheme="minorHAnsi"/>
          <w:sz w:val="20"/>
          <w:szCs w:val="20"/>
        </w:rPr>
        <w:t xml:space="preserve"> </w:t>
      </w:r>
    </w:p>
    <w:p w14:paraId="32ED1B64" w14:textId="77777777" w:rsidR="002117BC" w:rsidRPr="00A24B3C" w:rsidRDefault="002117BC" w:rsidP="002117BC">
      <w:pPr>
        <w:spacing w:after="0" w:line="240" w:lineRule="auto"/>
        <w:ind w:left="709" w:hanging="709"/>
        <w:jc w:val="both"/>
        <w:rPr>
          <w:rFonts w:eastAsiaTheme="minorEastAsia"/>
          <w:sz w:val="20"/>
          <w:szCs w:val="20"/>
        </w:rPr>
      </w:pPr>
      <w:r w:rsidRPr="00A24B3C">
        <w:rPr>
          <w:rFonts w:eastAsiaTheme="minorEastAsia"/>
          <w:sz w:val="20"/>
          <w:szCs w:val="20"/>
        </w:rPr>
        <w:t>Van der Brie, R. (2009).</w:t>
      </w:r>
      <w:r w:rsidRPr="00A24B3C">
        <w:rPr>
          <w:sz w:val="20"/>
          <w:szCs w:val="20"/>
        </w:rPr>
        <w:t xml:space="preserve"> De economisch-geografische indelingen van het CBS, 1917–1960. Den Haag/Heerlen: CBS (Centraal Bureau voor de Statistiek). Retrieved from </w:t>
      </w:r>
      <w:r w:rsidRPr="00A24B3C">
        <w:rPr>
          <w:rFonts w:eastAsiaTheme="minorEastAsia"/>
          <w:sz w:val="20"/>
          <w:szCs w:val="20"/>
        </w:rPr>
        <w:t xml:space="preserve">https://www.cbs.nl/-/media/imported/documents/2009/36/2009-de-economisch-geografische-indelingen-van-het-cbs-1917-1960-pub.pdf?la=nl-nl. </w:t>
      </w:r>
    </w:p>
    <w:p w14:paraId="4D40AB9C" w14:textId="77777777" w:rsidR="002117BC" w:rsidRDefault="002117BC" w:rsidP="002117BC">
      <w:pPr>
        <w:pStyle w:val="Voetnootteks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73D"/>
    <w:rsid w:val="000218EC"/>
    <w:rsid w:val="00051CDC"/>
    <w:rsid w:val="000A2435"/>
    <w:rsid w:val="000B5615"/>
    <w:rsid w:val="00103010"/>
    <w:rsid w:val="00192BE1"/>
    <w:rsid w:val="00193455"/>
    <w:rsid w:val="001A03C9"/>
    <w:rsid w:val="001B2C6B"/>
    <w:rsid w:val="001D45EB"/>
    <w:rsid w:val="001F3792"/>
    <w:rsid w:val="001F7D6F"/>
    <w:rsid w:val="002117BC"/>
    <w:rsid w:val="002907CC"/>
    <w:rsid w:val="002F0AF8"/>
    <w:rsid w:val="00311B9C"/>
    <w:rsid w:val="00345B81"/>
    <w:rsid w:val="003622EB"/>
    <w:rsid w:val="00384E31"/>
    <w:rsid w:val="00387204"/>
    <w:rsid w:val="003B4DFF"/>
    <w:rsid w:val="003C3C4C"/>
    <w:rsid w:val="00433069"/>
    <w:rsid w:val="004617BE"/>
    <w:rsid w:val="004831F7"/>
    <w:rsid w:val="00490BAB"/>
    <w:rsid w:val="004A3298"/>
    <w:rsid w:val="004F3593"/>
    <w:rsid w:val="005034C3"/>
    <w:rsid w:val="005139DE"/>
    <w:rsid w:val="00535A8F"/>
    <w:rsid w:val="00583575"/>
    <w:rsid w:val="005C5EBC"/>
    <w:rsid w:val="005D0707"/>
    <w:rsid w:val="005D4FC1"/>
    <w:rsid w:val="005E240B"/>
    <w:rsid w:val="00610C8F"/>
    <w:rsid w:val="00613702"/>
    <w:rsid w:val="00623521"/>
    <w:rsid w:val="006755D0"/>
    <w:rsid w:val="006948F9"/>
    <w:rsid w:val="006D34DD"/>
    <w:rsid w:val="006D591D"/>
    <w:rsid w:val="0071700C"/>
    <w:rsid w:val="007620A6"/>
    <w:rsid w:val="007A18F1"/>
    <w:rsid w:val="007A552C"/>
    <w:rsid w:val="007C21B6"/>
    <w:rsid w:val="007C7B81"/>
    <w:rsid w:val="008169EA"/>
    <w:rsid w:val="00833CA4"/>
    <w:rsid w:val="00834762"/>
    <w:rsid w:val="008846A8"/>
    <w:rsid w:val="00894B37"/>
    <w:rsid w:val="008A43C6"/>
    <w:rsid w:val="008B759F"/>
    <w:rsid w:val="008C3FEF"/>
    <w:rsid w:val="008D5300"/>
    <w:rsid w:val="008D5CAC"/>
    <w:rsid w:val="009044EC"/>
    <w:rsid w:val="009069B4"/>
    <w:rsid w:val="00924603"/>
    <w:rsid w:val="00941339"/>
    <w:rsid w:val="009E4329"/>
    <w:rsid w:val="00A023E7"/>
    <w:rsid w:val="00A07884"/>
    <w:rsid w:val="00A24B3C"/>
    <w:rsid w:val="00A935C9"/>
    <w:rsid w:val="00AA69C7"/>
    <w:rsid w:val="00AE626B"/>
    <w:rsid w:val="00B27017"/>
    <w:rsid w:val="00B2769B"/>
    <w:rsid w:val="00B67709"/>
    <w:rsid w:val="00BA5B9E"/>
    <w:rsid w:val="00C1573D"/>
    <w:rsid w:val="00C664E6"/>
    <w:rsid w:val="00C85B9E"/>
    <w:rsid w:val="00CA483E"/>
    <w:rsid w:val="00CF5B1B"/>
    <w:rsid w:val="00D25EBD"/>
    <w:rsid w:val="00D61F68"/>
    <w:rsid w:val="00D64938"/>
    <w:rsid w:val="00D950D4"/>
    <w:rsid w:val="00DE1EFE"/>
    <w:rsid w:val="00E6193A"/>
    <w:rsid w:val="00EA3131"/>
    <w:rsid w:val="00EF0492"/>
    <w:rsid w:val="00F420CC"/>
    <w:rsid w:val="00F50053"/>
    <w:rsid w:val="00F703E8"/>
    <w:rsid w:val="00F75332"/>
    <w:rsid w:val="00FC3E7F"/>
    <w:rsid w:val="00FE2C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D46CA"/>
  <w15:chartTrackingRefBased/>
  <w15:docId w15:val="{8396A01C-6F08-4AEA-9488-09366C0EE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3622E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622EB"/>
    <w:rPr>
      <w:sz w:val="20"/>
      <w:szCs w:val="20"/>
    </w:rPr>
  </w:style>
  <w:style w:type="character" w:styleId="Voetnootmarkering">
    <w:name w:val="footnote reference"/>
    <w:basedOn w:val="Standaardalinea-lettertype"/>
    <w:uiPriority w:val="99"/>
    <w:semiHidden/>
    <w:unhideWhenUsed/>
    <w:rsid w:val="003622EB"/>
    <w:rPr>
      <w:vertAlign w:val="superscript"/>
    </w:rPr>
  </w:style>
  <w:style w:type="character" w:styleId="Hyperlink">
    <w:name w:val="Hyperlink"/>
    <w:basedOn w:val="Standaardalinea-lettertype"/>
    <w:uiPriority w:val="99"/>
    <w:unhideWhenUsed/>
    <w:rsid w:val="005C5EBC"/>
    <w:rPr>
      <w:color w:val="0563C1" w:themeColor="hyperlink"/>
      <w:u w:val="single"/>
    </w:rPr>
  </w:style>
  <w:style w:type="character" w:styleId="Onopgelostemelding">
    <w:name w:val="Unresolved Mention"/>
    <w:basedOn w:val="Standaardalinea-lettertype"/>
    <w:uiPriority w:val="99"/>
    <w:semiHidden/>
    <w:unhideWhenUsed/>
    <w:rsid w:val="001B2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t.jansma@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volkstellingen.nl/nl/volkstelling/jaartellingdeelview/BRT190901/index.html" TargetMode="External"/><Relationship Id="rId1" Type="http://schemas.openxmlformats.org/officeDocument/2006/relationships/hyperlink" Target="https://doi.org/10.17026/dans-xb9-t677"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2D125-6FAE-4F27-89D8-E8D8DF186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296</Words>
  <Characters>1631</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Ewoud Jansma</dc:creator>
  <cp:keywords/>
  <dc:description/>
  <cp:lastModifiedBy>Ewoud Jansma</cp:lastModifiedBy>
  <cp:revision>89</cp:revision>
  <dcterms:created xsi:type="dcterms:W3CDTF">2024-08-05T10:56:00Z</dcterms:created>
  <dcterms:modified xsi:type="dcterms:W3CDTF">2024-08-05T12:19:00Z</dcterms:modified>
</cp:coreProperties>
</file>