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84468" w:rsidRPr="00084468" w:rsidRDefault="00084468">
      <w:pPr>
        <w:rPr>
          <w:sz w:val="28"/>
          <w:lang w:val="en-GB"/>
        </w:rPr>
      </w:pPr>
      <w:r w:rsidRPr="00084468">
        <w:rPr>
          <w:sz w:val="28"/>
          <w:lang w:val="en-GB"/>
        </w:rPr>
        <w:t>Appendix: Sand Samples</w:t>
      </w:r>
    </w:p>
    <w:p w:rsidR="00084468" w:rsidRPr="006B053C" w:rsidRDefault="00084468" w:rsidP="00084468">
      <w:pPr>
        <w:rPr>
          <w:lang w:val="en-GB"/>
        </w:rPr>
      </w:pPr>
      <w:r w:rsidRPr="006B053C">
        <w:rPr>
          <w:lang w:val="en-GB"/>
        </w:rPr>
        <w:t xml:space="preserve">In the following graphs the results of the sieve analysis are represented. Each sample is taken from another location. The locations are indicated with a number and can be found in the figures below. </w:t>
      </w:r>
      <w:r w:rsidR="006B053C">
        <w:rPr>
          <w:lang w:val="en-GB"/>
        </w:rPr>
        <w:t xml:space="preserve">Furthermore, some samples are taken from the beach and waterline at the North and South beach. </w:t>
      </w:r>
      <w:r w:rsidRPr="006B053C">
        <w:rPr>
          <w:lang w:val="en-GB"/>
        </w:rPr>
        <w:t xml:space="preserve">The horizontal axes of the graphs have </w:t>
      </w:r>
      <w:r w:rsidR="0021768C">
        <w:rPr>
          <w:lang w:val="en-GB"/>
        </w:rPr>
        <w:t xml:space="preserve">a </w:t>
      </w:r>
      <w:r w:rsidRPr="006B053C">
        <w:rPr>
          <w:lang w:val="en-GB"/>
        </w:rPr>
        <w:t>logarithmic scale. The cumulative mass percentage of the vertical axes of the graphs is the mass percentage of sand that passed the sieve.</w:t>
      </w:r>
    </w:p>
    <w:p w:rsidR="00084468" w:rsidRPr="006B053C" w:rsidRDefault="00084468" w:rsidP="00084468">
      <w:pPr>
        <w:rPr>
          <w:rFonts w:ascii="Calibri" w:eastAsia="Times New Roman" w:hAnsi="Calibri" w:cs="Calibri"/>
          <w:color w:val="000000"/>
          <w:lang w:val="en-GB" w:eastAsia="nl-NL"/>
        </w:rPr>
      </w:pPr>
      <w:r w:rsidRPr="006B053C">
        <w:rPr>
          <w:rFonts w:ascii="Calibri" w:eastAsia="Times New Roman" w:hAnsi="Calibri" w:cs="Calibri"/>
          <w:color w:val="000000"/>
          <w:lang w:val="en-GB" w:eastAsia="nl-NL"/>
        </w:rPr>
        <w:t xml:space="preserve">Besides sand the sand samples also consist of shells. The diameter of the shells is larger compared to the diameter of the sand. Only a few samples consist </w:t>
      </w:r>
      <w:r w:rsidR="00C75DE2" w:rsidRPr="006B053C">
        <w:rPr>
          <w:rFonts w:ascii="Calibri" w:eastAsia="Times New Roman" w:hAnsi="Calibri" w:cs="Calibri"/>
          <w:color w:val="000000"/>
          <w:lang w:val="en-GB" w:eastAsia="nl-NL"/>
        </w:rPr>
        <w:t xml:space="preserve">of </w:t>
      </w:r>
      <w:r w:rsidRPr="006B053C">
        <w:rPr>
          <w:rFonts w:ascii="Calibri" w:eastAsia="Times New Roman" w:hAnsi="Calibri" w:cs="Calibri"/>
          <w:color w:val="000000"/>
          <w:lang w:val="en-GB" w:eastAsia="nl-NL"/>
        </w:rPr>
        <w:t>a sufficien</w:t>
      </w:r>
      <w:r w:rsidR="00C75DE2" w:rsidRPr="006B053C">
        <w:rPr>
          <w:rFonts w:ascii="Calibri" w:eastAsia="Times New Roman" w:hAnsi="Calibri" w:cs="Calibri"/>
          <w:color w:val="000000"/>
          <w:lang w:val="en-GB" w:eastAsia="nl-NL"/>
        </w:rPr>
        <w:t>t amount of shells. Therefore, c</w:t>
      </w:r>
      <w:r w:rsidRPr="006B053C">
        <w:rPr>
          <w:rFonts w:ascii="Calibri" w:eastAsia="Times New Roman" w:hAnsi="Calibri" w:cs="Calibri"/>
          <w:color w:val="000000"/>
          <w:lang w:val="en-GB" w:eastAsia="nl-NL"/>
        </w:rPr>
        <w:t>alcium (shel</w:t>
      </w:r>
      <w:r w:rsidR="00C75DE2" w:rsidRPr="006B053C">
        <w:rPr>
          <w:rFonts w:ascii="Calibri" w:eastAsia="Times New Roman" w:hAnsi="Calibri" w:cs="Calibri"/>
          <w:color w:val="000000"/>
          <w:lang w:val="en-GB" w:eastAsia="nl-NL"/>
        </w:rPr>
        <w:t xml:space="preserve">ls) is not removed because </w:t>
      </w:r>
      <w:r w:rsidRPr="006B053C">
        <w:rPr>
          <w:rFonts w:ascii="Calibri" w:eastAsia="Times New Roman" w:hAnsi="Calibri" w:cs="Calibri"/>
          <w:color w:val="000000"/>
          <w:lang w:val="en-GB" w:eastAsia="nl-NL"/>
        </w:rPr>
        <w:t xml:space="preserve">this extra step in </w:t>
      </w:r>
      <w:r w:rsidR="00C75DE2" w:rsidRPr="006B053C">
        <w:rPr>
          <w:rFonts w:ascii="Calibri" w:eastAsia="Times New Roman" w:hAnsi="Calibri" w:cs="Calibri"/>
          <w:color w:val="000000"/>
          <w:lang w:val="en-GB" w:eastAsia="nl-NL"/>
        </w:rPr>
        <w:t xml:space="preserve">the </w:t>
      </w:r>
      <w:r w:rsidRPr="006B053C">
        <w:rPr>
          <w:rFonts w:ascii="Calibri" w:eastAsia="Times New Roman" w:hAnsi="Calibri" w:cs="Calibri"/>
          <w:color w:val="000000"/>
          <w:lang w:val="en-GB" w:eastAsia="nl-NL"/>
        </w:rPr>
        <w:t xml:space="preserve">preparation </w:t>
      </w:r>
      <w:r w:rsidR="00C75DE2" w:rsidRPr="006B053C">
        <w:rPr>
          <w:rFonts w:ascii="Calibri" w:eastAsia="Times New Roman" w:hAnsi="Calibri" w:cs="Calibri"/>
          <w:color w:val="000000"/>
          <w:lang w:val="en-GB" w:eastAsia="nl-NL"/>
        </w:rPr>
        <w:t xml:space="preserve">of the samples </w:t>
      </w:r>
      <w:r w:rsidRPr="006B053C">
        <w:rPr>
          <w:rFonts w:ascii="Calibri" w:eastAsia="Times New Roman" w:hAnsi="Calibri" w:cs="Calibri"/>
          <w:color w:val="000000"/>
          <w:lang w:val="en-GB" w:eastAsia="nl-NL"/>
        </w:rPr>
        <w:t>before the sieve analysis will not sufficiently influence the results.</w:t>
      </w:r>
      <w:r w:rsidR="009B27B9">
        <w:rPr>
          <w:rFonts w:ascii="Calibri" w:eastAsia="Times New Roman" w:hAnsi="Calibri" w:cs="Calibri"/>
          <w:color w:val="000000"/>
          <w:lang w:val="en-GB" w:eastAsia="nl-NL"/>
        </w:rPr>
        <w:t xml:space="preserve"> Furthermore, there was also some organic material in the sample. The fraction of organic material in the sample was small compared to the sand fraction. Therefore, the organic material is not removed before sieving. The organic matter and shells influenced the analysed diameter of the sand, but this influence can be neglected.</w:t>
      </w:r>
    </w:p>
    <w:p w:rsidR="009B27B9" w:rsidRDefault="00C75DE2" w:rsidP="00702083">
      <w:pPr>
        <w:spacing w:after="0" w:line="240" w:lineRule="auto"/>
        <w:rPr>
          <w:noProof/>
          <w:lang w:val="en-GB" w:eastAsia="nl-NL"/>
        </w:rPr>
      </w:pPr>
      <w:r w:rsidRPr="006B053C">
        <w:rPr>
          <w:rFonts w:ascii="Calibri" w:eastAsia="Times New Roman" w:hAnsi="Calibri" w:cs="Calibri"/>
          <w:color w:val="000000"/>
          <w:lang w:val="en-GB" w:eastAsia="nl-NL"/>
        </w:rPr>
        <w:t>The smallest sieve diameter was</w:t>
      </w:r>
      <w:r w:rsidR="00BA1CEE" w:rsidRPr="006B053C">
        <w:rPr>
          <w:rFonts w:ascii="Calibri" w:eastAsia="Times New Roman" w:hAnsi="Calibri" w:cs="Calibri"/>
          <w:color w:val="000000"/>
          <w:lang w:val="en-GB" w:eastAsia="nl-NL"/>
        </w:rPr>
        <w:t xml:space="preserve"> 0,</w:t>
      </w:r>
      <w:r w:rsidRPr="006B053C">
        <w:rPr>
          <w:rFonts w:ascii="Calibri" w:eastAsia="Times New Roman" w:hAnsi="Calibri" w:cs="Calibri"/>
          <w:color w:val="000000"/>
          <w:lang w:val="en-GB" w:eastAsia="nl-NL"/>
        </w:rPr>
        <w:t>053 mm and the largest sieve diameter</w:t>
      </w:r>
      <w:r w:rsidR="00BA1CEE" w:rsidRPr="006B053C">
        <w:rPr>
          <w:rFonts w:ascii="Calibri" w:eastAsia="Times New Roman" w:hAnsi="Calibri" w:cs="Calibri"/>
          <w:color w:val="000000"/>
          <w:lang w:val="en-GB" w:eastAsia="nl-NL"/>
        </w:rPr>
        <w:t xml:space="preserve"> was 3,</w:t>
      </w:r>
      <w:r w:rsidR="00702083" w:rsidRPr="006B053C">
        <w:rPr>
          <w:rFonts w:ascii="Calibri" w:eastAsia="Times New Roman" w:hAnsi="Calibri" w:cs="Calibri"/>
          <w:color w:val="000000"/>
          <w:lang w:val="en-GB" w:eastAsia="nl-NL"/>
        </w:rPr>
        <w:t>15 mm. S</w:t>
      </w:r>
      <w:r w:rsidRPr="006B053C">
        <w:rPr>
          <w:rFonts w:ascii="Calibri" w:eastAsia="Times New Roman" w:hAnsi="Calibri" w:cs="Calibri"/>
          <w:color w:val="000000"/>
          <w:lang w:val="en-GB" w:eastAsia="nl-NL"/>
        </w:rPr>
        <w:t>ome samples included finer sand than</w:t>
      </w:r>
      <w:r w:rsidR="00702083" w:rsidRPr="006B053C">
        <w:rPr>
          <w:rFonts w:ascii="Calibri" w:eastAsia="Times New Roman" w:hAnsi="Calibri" w:cs="Calibri"/>
          <w:color w:val="000000"/>
          <w:lang w:val="en-GB" w:eastAsia="nl-NL"/>
        </w:rPr>
        <w:t xml:space="preserve"> sand with a diameter of</w:t>
      </w:r>
      <w:r w:rsidRPr="006B053C">
        <w:rPr>
          <w:rFonts w:ascii="Calibri" w:eastAsia="Times New Roman" w:hAnsi="Calibri" w:cs="Calibri"/>
          <w:color w:val="000000"/>
          <w:lang w:val="en-GB" w:eastAsia="nl-NL"/>
        </w:rPr>
        <w:t xml:space="preserve"> 0,053 mm. </w:t>
      </w:r>
      <w:r w:rsidRPr="00C75DE2">
        <w:rPr>
          <w:rFonts w:ascii="Calibri" w:eastAsia="Times New Roman" w:hAnsi="Calibri" w:cs="Calibri"/>
          <w:color w:val="000000"/>
          <w:lang w:val="en-GB" w:eastAsia="nl-NL"/>
        </w:rPr>
        <w:t>Th</w:t>
      </w:r>
      <w:r w:rsidR="00702083" w:rsidRPr="006B053C">
        <w:rPr>
          <w:rFonts w:ascii="Calibri" w:eastAsia="Times New Roman" w:hAnsi="Calibri" w:cs="Calibri"/>
          <w:color w:val="000000"/>
          <w:lang w:val="en-GB" w:eastAsia="nl-NL"/>
        </w:rPr>
        <w:t xml:space="preserve">e sand </w:t>
      </w:r>
      <w:r w:rsidRPr="006B053C">
        <w:rPr>
          <w:rFonts w:ascii="Calibri" w:eastAsia="Times New Roman" w:hAnsi="Calibri" w:cs="Calibri"/>
          <w:color w:val="000000"/>
          <w:lang w:val="en-GB" w:eastAsia="nl-NL"/>
        </w:rPr>
        <w:t>f</w:t>
      </w:r>
      <w:r w:rsidRPr="00C75DE2">
        <w:rPr>
          <w:rFonts w:ascii="Calibri" w:eastAsia="Times New Roman" w:hAnsi="Calibri" w:cs="Calibri"/>
          <w:color w:val="000000"/>
          <w:lang w:val="en-GB" w:eastAsia="nl-NL"/>
        </w:rPr>
        <w:t>ound behind the fi</w:t>
      </w:r>
      <w:r w:rsidRPr="006B053C">
        <w:rPr>
          <w:rFonts w:ascii="Calibri" w:eastAsia="Times New Roman" w:hAnsi="Calibri" w:cs="Calibri"/>
          <w:color w:val="000000"/>
          <w:lang w:val="en-GB" w:eastAsia="nl-NL"/>
        </w:rPr>
        <w:t>nest sieve</w:t>
      </w:r>
      <w:r w:rsidR="00BA1CEE" w:rsidRPr="006B053C">
        <w:rPr>
          <w:rFonts w:ascii="Calibri" w:eastAsia="Times New Roman" w:hAnsi="Calibri" w:cs="Calibri"/>
          <w:color w:val="000000"/>
          <w:lang w:val="en-GB" w:eastAsia="nl-NL"/>
        </w:rPr>
        <w:t xml:space="preserve"> is smaller than 0,053</w:t>
      </w:r>
      <w:r w:rsidRPr="006B053C">
        <w:rPr>
          <w:rFonts w:ascii="Calibri" w:eastAsia="Times New Roman" w:hAnsi="Calibri" w:cs="Calibri"/>
          <w:color w:val="000000"/>
          <w:lang w:val="en-GB" w:eastAsia="nl-NL"/>
        </w:rPr>
        <w:t xml:space="preserve"> mm. S</w:t>
      </w:r>
      <w:r w:rsidR="00BA1CEE" w:rsidRPr="006B053C">
        <w:rPr>
          <w:rFonts w:ascii="Calibri" w:eastAsia="Times New Roman" w:hAnsi="Calibri" w:cs="Calibri"/>
          <w:color w:val="000000"/>
          <w:lang w:val="en-GB" w:eastAsia="nl-NL"/>
        </w:rPr>
        <w:t>and in the sieve of 3,15 mm is graded to 3,15 mm</w:t>
      </w:r>
      <w:r w:rsidR="00702083" w:rsidRPr="006B053C">
        <w:rPr>
          <w:rFonts w:ascii="Calibri" w:eastAsia="Times New Roman" w:hAnsi="Calibri" w:cs="Calibri"/>
          <w:color w:val="000000"/>
          <w:lang w:val="en-GB" w:eastAsia="nl-NL"/>
        </w:rPr>
        <w:t xml:space="preserve">. Therefore, sand </w:t>
      </w:r>
      <w:r w:rsidR="0021768C">
        <w:rPr>
          <w:rFonts w:ascii="Calibri" w:eastAsia="Times New Roman" w:hAnsi="Calibri" w:cs="Calibri"/>
          <w:color w:val="000000"/>
          <w:lang w:val="en-GB" w:eastAsia="nl-NL"/>
        </w:rPr>
        <w:t>with a diameter below</w:t>
      </w:r>
      <w:r w:rsidR="00702083" w:rsidRPr="006B053C">
        <w:rPr>
          <w:rFonts w:ascii="Calibri" w:eastAsia="Times New Roman" w:hAnsi="Calibri" w:cs="Calibri"/>
          <w:color w:val="000000"/>
          <w:lang w:val="en-GB" w:eastAsia="nl-NL"/>
        </w:rPr>
        <w:t xml:space="preserve"> 0,053 mm and </w:t>
      </w:r>
      <w:r w:rsidR="0021768C">
        <w:rPr>
          <w:rFonts w:ascii="Calibri" w:eastAsia="Times New Roman" w:hAnsi="Calibri" w:cs="Calibri"/>
          <w:color w:val="000000"/>
          <w:lang w:val="en-GB" w:eastAsia="nl-NL"/>
        </w:rPr>
        <w:t xml:space="preserve">above </w:t>
      </w:r>
      <w:r w:rsidR="00702083" w:rsidRPr="006B053C">
        <w:rPr>
          <w:rFonts w:ascii="Calibri" w:eastAsia="Times New Roman" w:hAnsi="Calibri" w:cs="Calibri"/>
          <w:color w:val="000000"/>
          <w:lang w:val="en-GB" w:eastAsia="nl-NL"/>
        </w:rPr>
        <w:t>3,15 mm i</w:t>
      </w:r>
      <w:r w:rsidR="00BA1CEE" w:rsidRPr="006B053C">
        <w:rPr>
          <w:rFonts w:ascii="Calibri" w:eastAsia="Times New Roman" w:hAnsi="Calibri" w:cs="Calibri"/>
          <w:color w:val="000000"/>
          <w:lang w:val="en-GB" w:eastAsia="nl-NL"/>
        </w:rPr>
        <w:t>s not analysed.</w:t>
      </w:r>
      <w:r w:rsidR="00E31F1A">
        <w:rPr>
          <w:rFonts w:ascii="Calibri" w:eastAsia="Times New Roman" w:hAnsi="Calibri" w:cs="Calibri"/>
          <w:color w:val="000000"/>
          <w:lang w:val="en-GB" w:eastAsia="nl-NL"/>
        </w:rPr>
        <w:t xml:space="preserve"> To improve the results more sieves with different diameters </w:t>
      </w:r>
      <w:r w:rsidR="009B27B9">
        <w:rPr>
          <w:noProof/>
          <w:lang w:val="en-GB" w:eastAsia="nl-NL"/>
        </w:rPr>
        <w:t>can be used. This is efficient when the a fraction in a certain sieve is large.</w:t>
      </w:r>
    </w:p>
    <w:p w:rsidR="009B27B9" w:rsidRDefault="009B27B9" w:rsidP="00702083">
      <w:pPr>
        <w:spacing w:after="0" w:line="240" w:lineRule="auto"/>
        <w:rPr>
          <w:noProof/>
          <w:lang w:val="en-GB" w:eastAsia="nl-NL"/>
        </w:rPr>
      </w:pPr>
    </w:p>
    <w:p w:rsidR="009B27B9" w:rsidRDefault="009B27B9" w:rsidP="00702083">
      <w:pPr>
        <w:spacing w:after="0" w:line="240" w:lineRule="auto"/>
        <w:rPr>
          <w:noProof/>
          <w:lang w:val="en-GB" w:eastAsia="nl-NL"/>
        </w:rPr>
      </w:pPr>
    </w:p>
    <w:p w:rsidR="00084468" w:rsidRPr="00313102" w:rsidRDefault="00313102" w:rsidP="00702083">
      <w:pPr>
        <w:spacing w:after="0" w:line="240" w:lineRule="auto"/>
        <w:rPr>
          <w:rFonts w:ascii="Calibri" w:eastAsia="Times New Roman" w:hAnsi="Calibri" w:cs="Calibri"/>
          <w:color w:val="000000"/>
          <w:sz w:val="24"/>
          <w:szCs w:val="24"/>
          <w:lang w:val="en-GB" w:eastAsia="nl-NL"/>
        </w:rPr>
      </w:pPr>
      <w:r>
        <w:rPr>
          <w:noProof/>
          <w:lang w:eastAsia="nl-NL"/>
        </w:rPr>
        <w:drawing>
          <wp:inline distT="0" distB="0" distL="0" distR="0" wp14:anchorId="6EDAE9B0" wp14:editId="1526E71B">
            <wp:extent cx="5715000" cy="3101340"/>
            <wp:effectExtent l="0" t="0" r="0" b="3810"/>
            <wp:docPr id="1" name="Grafiek 1">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
              </a:graphicData>
            </a:graphic>
          </wp:inline>
        </w:drawing>
      </w:r>
      <w:bookmarkStart w:id="0" w:name="_GoBack"/>
      <w:bookmarkEnd w:id="0"/>
    </w:p>
    <w:p w:rsidR="00702083" w:rsidRDefault="00702083" w:rsidP="00702083">
      <w:pPr>
        <w:spacing w:after="0" w:line="240" w:lineRule="auto"/>
        <w:rPr>
          <w:rFonts w:ascii="Calibri" w:eastAsia="Times New Roman" w:hAnsi="Calibri" w:cs="Calibri"/>
          <w:color w:val="000000"/>
          <w:sz w:val="24"/>
          <w:szCs w:val="24"/>
          <w:lang w:val="en-GB" w:eastAsia="nl-NL"/>
        </w:rPr>
      </w:pPr>
      <w:r>
        <w:rPr>
          <w:noProof/>
          <w:lang w:eastAsia="nl-NL"/>
        </w:rPr>
        <w:lastRenderedPageBreak/>
        <w:drawing>
          <wp:inline distT="0" distB="0" distL="0" distR="0">
            <wp:extent cx="5760720" cy="2811780"/>
            <wp:effectExtent l="0" t="0" r="11430" b="7620"/>
            <wp:docPr id="3" name="Grafiek 3"/>
            <wp:cNvGraphicFramePr/>
            <a:graphic xmlns:a="http://schemas.openxmlformats.org/drawingml/2006/main">
              <a:graphicData uri="http://schemas.openxmlformats.org/drawingml/2006/chart">
                <c:chart xmlns:c="http://schemas.openxmlformats.org/drawingml/2006/chart" xmlns:r="http://schemas.openxmlformats.org/officeDocument/2006/relationships" r:id="rId5"/>
              </a:graphicData>
            </a:graphic>
          </wp:inline>
        </w:drawing>
      </w:r>
    </w:p>
    <w:p w:rsidR="00702083" w:rsidRDefault="00702083" w:rsidP="00702083">
      <w:pPr>
        <w:spacing w:after="0" w:line="240" w:lineRule="auto"/>
        <w:rPr>
          <w:rFonts w:ascii="Calibri" w:eastAsia="Times New Roman" w:hAnsi="Calibri" w:cs="Calibri"/>
          <w:color w:val="000000"/>
          <w:sz w:val="24"/>
          <w:szCs w:val="24"/>
          <w:lang w:val="en-GB" w:eastAsia="nl-NL"/>
        </w:rPr>
      </w:pPr>
      <w:r>
        <w:rPr>
          <w:noProof/>
          <w:lang w:eastAsia="nl-NL"/>
        </w:rPr>
        <w:drawing>
          <wp:inline distT="0" distB="0" distL="0" distR="0">
            <wp:extent cx="5760720" cy="2834640"/>
            <wp:effectExtent l="0" t="0" r="11430" b="3810"/>
            <wp:docPr id="2" name="Grafiek 2"/>
            <wp:cNvGraphicFramePr/>
            <a:graphic xmlns:a="http://schemas.openxmlformats.org/drawingml/2006/main">
              <a:graphicData uri="http://schemas.openxmlformats.org/drawingml/2006/chart">
                <c:chart xmlns:c="http://schemas.openxmlformats.org/drawingml/2006/chart" xmlns:r="http://schemas.openxmlformats.org/officeDocument/2006/relationships" r:id="rId6"/>
              </a:graphicData>
            </a:graphic>
          </wp:inline>
        </w:drawing>
      </w:r>
    </w:p>
    <w:p w:rsidR="00702083" w:rsidRDefault="00702083" w:rsidP="00702083">
      <w:pPr>
        <w:spacing w:after="0" w:line="240" w:lineRule="auto"/>
        <w:rPr>
          <w:rFonts w:ascii="Calibri" w:eastAsia="Times New Roman" w:hAnsi="Calibri" w:cs="Calibri"/>
          <w:color w:val="000000"/>
          <w:sz w:val="24"/>
          <w:szCs w:val="24"/>
          <w:lang w:val="en-GB" w:eastAsia="nl-NL"/>
        </w:rPr>
      </w:pPr>
      <w:r>
        <w:rPr>
          <w:noProof/>
          <w:lang w:eastAsia="nl-NL"/>
        </w:rPr>
        <w:drawing>
          <wp:inline distT="0" distB="0" distL="0" distR="0" wp14:anchorId="6FD9947C" wp14:editId="76628B57">
            <wp:extent cx="5760720" cy="3017520"/>
            <wp:effectExtent l="0" t="0" r="11430" b="11430"/>
            <wp:docPr id="4" name="Grafiek 4"/>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rsidR="00702083" w:rsidRPr="00702083" w:rsidRDefault="00702083" w:rsidP="00702083">
      <w:pPr>
        <w:spacing w:after="0" w:line="240" w:lineRule="auto"/>
        <w:rPr>
          <w:rFonts w:ascii="Calibri" w:eastAsia="Times New Roman" w:hAnsi="Calibri" w:cs="Calibri"/>
          <w:color w:val="000000"/>
          <w:sz w:val="24"/>
          <w:szCs w:val="24"/>
          <w:lang w:val="en-GB" w:eastAsia="nl-NL"/>
        </w:rPr>
      </w:pPr>
      <w:r>
        <w:rPr>
          <w:noProof/>
          <w:lang w:eastAsia="nl-NL"/>
        </w:rPr>
        <w:lastRenderedPageBreak/>
        <w:drawing>
          <wp:inline distT="0" distB="0" distL="0" distR="0" wp14:anchorId="635A915A" wp14:editId="3D8891CD">
            <wp:extent cx="5715000" cy="3101340"/>
            <wp:effectExtent l="0" t="0" r="0" b="3810"/>
            <wp:docPr id="5" name="Grafiek 5"/>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r>
        <w:rPr>
          <w:noProof/>
          <w:lang w:eastAsia="nl-NL"/>
        </w:rPr>
        <w:drawing>
          <wp:inline distT="0" distB="0" distL="0" distR="0" wp14:anchorId="6C903DF5" wp14:editId="3B4E2F6D">
            <wp:extent cx="5715000" cy="3101340"/>
            <wp:effectExtent l="0" t="0" r="0" b="3810"/>
            <wp:docPr id="6" name="Grafiek 6"/>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702083" w:rsidRDefault="00702083">
      <w:pPr>
        <w:rPr>
          <w:lang w:val="en-GB"/>
        </w:rPr>
      </w:pPr>
      <w:r>
        <w:rPr>
          <w:lang w:val="en-GB"/>
        </w:rPr>
        <w:br w:type="page"/>
      </w:r>
    </w:p>
    <w:p w:rsidR="00702083" w:rsidRDefault="00702083">
      <w:pPr>
        <w:rPr>
          <w:lang w:val="en-GB"/>
        </w:rPr>
      </w:pPr>
      <w:r>
        <w:rPr>
          <w:lang w:val="en-GB"/>
        </w:rPr>
        <w:lastRenderedPageBreak/>
        <w:t>Locations of sand samples at North Beach:</w:t>
      </w:r>
    </w:p>
    <w:p w:rsidR="00702083" w:rsidRDefault="00702083">
      <w:pPr>
        <w:rPr>
          <w:lang w:val="en-GB"/>
        </w:rPr>
      </w:pPr>
      <w:r>
        <w:rPr>
          <w:noProof/>
          <w:lang w:eastAsia="nl-NL"/>
        </w:rPr>
        <w:drawing>
          <wp:inline distT="0" distB="0" distL="0" distR="0">
            <wp:extent cx="4375932" cy="3611880"/>
            <wp:effectExtent l="0" t="0" r="5715" b="762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and sample locations North beach.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77016" cy="3612775"/>
                    </a:xfrm>
                    <a:prstGeom prst="rect">
                      <a:avLst/>
                    </a:prstGeom>
                  </pic:spPr>
                </pic:pic>
              </a:graphicData>
            </a:graphic>
          </wp:inline>
        </w:drawing>
      </w:r>
    </w:p>
    <w:p w:rsidR="00702083" w:rsidRDefault="00702083">
      <w:pPr>
        <w:rPr>
          <w:lang w:val="en-GB"/>
        </w:rPr>
      </w:pPr>
      <w:r>
        <w:rPr>
          <w:lang w:val="en-GB"/>
        </w:rPr>
        <w:t>Locations of sand samples at South Beach:</w:t>
      </w:r>
    </w:p>
    <w:p w:rsidR="00084468" w:rsidRPr="00084468" w:rsidRDefault="00702083">
      <w:pPr>
        <w:rPr>
          <w:lang w:val="en-GB"/>
        </w:rPr>
      </w:pPr>
      <w:r>
        <w:rPr>
          <w:noProof/>
          <w:lang w:eastAsia="nl-NL"/>
        </w:rPr>
        <w:drawing>
          <wp:inline distT="0" distB="0" distL="0" distR="0">
            <wp:extent cx="4375785" cy="3562079"/>
            <wp:effectExtent l="0" t="0" r="5715" b="63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and sample locations.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378134" cy="3563991"/>
                    </a:xfrm>
                    <a:prstGeom prst="rect">
                      <a:avLst/>
                    </a:prstGeom>
                  </pic:spPr>
                </pic:pic>
              </a:graphicData>
            </a:graphic>
          </wp:inline>
        </w:drawing>
      </w:r>
    </w:p>
    <w:sectPr w:rsidR="00084468" w:rsidRPr="00084468">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4468"/>
    <w:rsid w:val="000004CF"/>
    <w:rsid w:val="000029E5"/>
    <w:rsid w:val="00003355"/>
    <w:rsid w:val="00012994"/>
    <w:rsid w:val="0001381C"/>
    <w:rsid w:val="00017BE3"/>
    <w:rsid w:val="0002260F"/>
    <w:rsid w:val="00024E7C"/>
    <w:rsid w:val="00026169"/>
    <w:rsid w:val="0003219C"/>
    <w:rsid w:val="00032F7A"/>
    <w:rsid w:val="00035393"/>
    <w:rsid w:val="000355C4"/>
    <w:rsid w:val="00047E92"/>
    <w:rsid w:val="00052E05"/>
    <w:rsid w:val="00053B11"/>
    <w:rsid w:val="000554A1"/>
    <w:rsid w:val="0005625E"/>
    <w:rsid w:val="00056AAD"/>
    <w:rsid w:val="0005715B"/>
    <w:rsid w:val="000615F4"/>
    <w:rsid w:val="00062396"/>
    <w:rsid w:val="0007084F"/>
    <w:rsid w:val="0008346C"/>
    <w:rsid w:val="00084468"/>
    <w:rsid w:val="000A61F1"/>
    <w:rsid w:val="000A68D7"/>
    <w:rsid w:val="000C3AFA"/>
    <w:rsid w:val="000D06B2"/>
    <w:rsid w:val="000D53AD"/>
    <w:rsid w:val="000E2C36"/>
    <w:rsid w:val="000E6EC7"/>
    <w:rsid w:val="000E7D8D"/>
    <w:rsid w:val="00105980"/>
    <w:rsid w:val="00113005"/>
    <w:rsid w:val="00121D4D"/>
    <w:rsid w:val="00123705"/>
    <w:rsid w:val="00131101"/>
    <w:rsid w:val="001333C3"/>
    <w:rsid w:val="00136F68"/>
    <w:rsid w:val="00147440"/>
    <w:rsid w:val="00151666"/>
    <w:rsid w:val="00151E9F"/>
    <w:rsid w:val="00154E5A"/>
    <w:rsid w:val="00156683"/>
    <w:rsid w:val="00164FD1"/>
    <w:rsid w:val="00167FE9"/>
    <w:rsid w:val="0017095E"/>
    <w:rsid w:val="0018595F"/>
    <w:rsid w:val="0018752E"/>
    <w:rsid w:val="00193A11"/>
    <w:rsid w:val="001A4048"/>
    <w:rsid w:val="001A456C"/>
    <w:rsid w:val="001B100E"/>
    <w:rsid w:val="001B6BF9"/>
    <w:rsid w:val="001C37BF"/>
    <w:rsid w:val="001D1F3E"/>
    <w:rsid w:val="001D281E"/>
    <w:rsid w:val="001D3A9F"/>
    <w:rsid w:val="001E3D92"/>
    <w:rsid w:val="001F456E"/>
    <w:rsid w:val="001F7797"/>
    <w:rsid w:val="00201E65"/>
    <w:rsid w:val="00202D01"/>
    <w:rsid w:val="00203E85"/>
    <w:rsid w:val="00207187"/>
    <w:rsid w:val="00207B65"/>
    <w:rsid w:val="00207F2D"/>
    <w:rsid w:val="0021768C"/>
    <w:rsid w:val="00222D56"/>
    <w:rsid w:val="002413BC"/>
    <w:rsid w:val="00252FA4"/>
    <w:rsid w:val="00254525"/>
    <w:rsid w:val="0025791B"/>
    <w:rsid w:val="00261837"/>
    <w:rsid w:val="00263544"/>
    <w:rsid w:val="00265021"/>
    <w:rsid w:val="0027109E"/>
    <w:rsid w:val="00271C8A"/>
    <w:rsid w:val="00274D20"/>
    <w:rsid w:val="00274D8F"/>
    <w:rsid w:val="0028076A"/>
    <w:rsid w:val="002812B6"/>
    <w:rsid w:val="00283E5D"/>
    <w:rsid w:val="00286454"/>
    <w:rsid w:val="00293F1D"/>
    <w:rsid w:val="002958F0"/>
    <w:rsid w:val="00295DC6"/>
    <w:rsid w:val="00296123"/>
    <w:rsid w:val="002A01BD"/>
    <w:rsid w:val="002A472B"/>
    <w:rsid w:val="002A51B9"/>
    <w:rsid w:val="002A6E11"/>
    <w:rsid w:val="002B0464"/>
    <w:rsid w:val="002B6C60"/>
    <w:rsid w:val="002D7454"/>
    <w:rsid w:val="002D7797"/>
    <w:rsid w:val="002E5787"/>
    <w:rsid w:val="00300465"/>
    <w:rsid w:val="00304590"/>
    <w:rsid w:val="003062CC"/>
    <w:rsid w:val="00306BFC"/>
    <w:rsid w:val="00310C3B"/>
    <w:rsid w:val="00313102"/>
    <w:rsid w:val="00327304"/>
    <w:rsid w:val="003414DD"/>
    <w:rsid w:val="00345B16"/>
    <w:rsid w:val="0035729C"/>
    <w:rsid w:val="00360E75"/>
    <w:rsid w:val="00362FC5"/>
    <w:rsid w:val="00364B39"/>
    <w:rsid w:val="00366DAB"/>
    <w:rsid w:val="00385BDA"/>
    <w:rsid w:val="00390DDB"/>
    <w:rsid w:val="00393437"/>
    <w:rsid w:val="00396DFA"/>
    <w:rsid w:val="003A4123"/>
    <w:rsid w:val="003A4C2C"/>
    <w:rsid w:val="003A55A6"/>
    <w:rsid w:val="003B4E3E"/>
    <w:rsid w:val="003B57C6"/>
    <w:rsid w:val="003B5AD2"/>
    <w:rsid w:val="003C14D1"/>
    <w:rsid w:val="003C20A8"/>
    <w:rsid w:val="003C33F2"/>
    <w:rsid w:val="003D593D"/>
    <w:rsid w:val="003D7FBB"/>
    <w:rsid w:val="003F38AE"/>
    <w:rsid w:val="003F5EB6"/>
    <w:rsid w:val="0040088E"/>
    <w:rsid w:val="00402D72"/>
    <w:rsid w:val="00404983"/>
    <w:rsid w:val="00412A39"/>
    <w:rsid w:val="00413462"/>
    <w:rsid w:val="00416A43"/>
    <w:rsid w:val="00421945"/>
    <w:rsid w:val="0042595F"/>
    <w:rsid w:val="00426D18"/>
    <w:rsid w:val="0043668F"/>
    <w:rsid w:val="0044289F"/>
    <w:rsid w:val="00443498"/>
    <w:rsid w:val="00446968"/>
    <w:rsid w:val="00446972"/>
    <w:rsid w:val="0046298B"/>
    <w:rsid w:val="00464B00"/>
    <w:rsid w:val="004723CF"/>
    <w:rsid w:val="00481B9C"/>
    <w:rsid w:val="00484B9A"/>
    <w:rsid w:val="004865A6"/>
    <w:rsid w:val="00490C50"/>
    <w:rsid w:val="00494C8E"/>
    <w:rsid w:val="00494DEA"/>
    <w:rsid w:val="004975C7"/>
    <w:rsid w:val="004A434F"/>
    <w:rsid w:val="004B0798"/>
    <w:rsid w:val="004B2B89"/>
    <w:rsid w:val="004C2A64"/>
    <w:rsid w:val="004C3E0F"/>
    <w:rsid w:val="004C5AEE"/>
    <w:rsid w:val="004D3D6E"/>
    <w:rsid w:val="004F5B73"/>
    <w:rsid w:val="004F6C75"/>
    <w:rsid w:val="004F7695"/>
    <w:rsid w:val="00500EAA"/>
    <w:rsid w:val="00504BDF"/>
    <w:rsid w:val="005137A0"/>
    <w:rsid w:val="00524636"/>
    <w:rsid w:val="005253B8"/>
    <w:rsid w:val="00525B86"/>
    <w:rsid w:val="00531831"/>
    <w:rsid w:val="00533EF7"/>
    <w:rsid w:val="00535D67"/>
    <w:rsid w:val="00541601"/>
    <w:rsid w:val="0054365A"/>
    <w:rsid w:val="00545A3A"/>
    <w:rsid w:val="0058277C"/>
    <w:rsid w:val="005A2F3C"/>
    <w:rsid w:val="005C335B"/>
    <w:rsid w:val="005C4FA4"/>
    <w:rsid w:val="005E14AE"/>
    <w:rsid w:val="005E42DB"/>
    <w:rsid w:val="005E62A0"/>
    <w:rsid w:val="00604A24"/>
    <w:rsid w:val="00605ECB"/>
    <w:rsid w:val="00606EC8"/>
    <w:rsid w:val="0060734C"/>
    <w:rsid w:val="00612F33"/>
    <w:rsid w:val="0062309D"/>
    <w:rsid w:val="00624CC3"/>
    <w:rsid w:val="00635329"/>
    <w:rsid w:val="00641273"/>
    <w:rsid w:val="00641F33"/>
    <w:rsid w:val="00643BED"/>
    <w:rsid w:val="006500AE"/>
    <w:rsid w:val="006559AF"/>
    <w:rsid w:val="00660A31"/>
    <w:rsid w:val="00665D4C"/>
    <w:rsid w:val="00672F4F"/>
    <w:rsid w:val="00677E1F"/>
    <w:rsid w:val="00692DC9"/>
    <w:rsid w:val="006938D4"/>
    <w:rsid w:val="00694057"/>
    <w:rsid w:val="00695B22"/>
    <w:rsid w:val="00696719"/>
    <w:rsid w:val="006A108A"/>
    <w:rsid w:val="006A2075"/>
    <w:rsid w:val="006A7C3C"/>
    <w:rsid w:val="006B053C"/>
    <w:rsid w:val="006B2681"/>
    <w:rsid w:val="006B2D3D"/>
    <w:rsid w:val="006B60E7"/>
    <w:rsid w:val="006C4C99"/>
    <w:rsid w:val="006C527A"/>
    <w:rsid w:val="006C71B6"/>
    <w:rsid w:val="006D19D3"/>
    <w:rsid w:val="006E0F2A"/>
    <w:rsid w:val="006E1B9D"/>
    <w:rsid w:val="006E44AD"/>
    <w:rsid w:val="006F17A9"/>
    <w:rsid w:val="00701999"/>
    <w:rsid w:val="00702083"/>
    <w:rsid w:val="00704BFE"/>
    <w:rsid w:val="00704E30"/>
    <w:rsid w:val="00717FF9"/>
    <w:rsid w:val="00724313"/>
    <w:rsid w:val="007332FE"/>
    <w:rsid w:val="00734556"/>
    <w:rsid w:val="00741F06"/>
    <w:rsid w:val="0074336B"/>
    <w:rsid w:val="00746400"/>
    <w:rsid w:val="007504BD"/>
    <w:rsid w:val="007504E6"/>
    <w:rsid w:val="00752565"/>
    <w:rsid w:val="00752D5C"/>
    <w:rsid w:val="007557CA"/>
    <w:rsid w:val="00756EC6"/>
    <w:rsid w:val="007571DC"/>
    <w:rsid w:val="00766878"/>
    <w:rsid w:val="0076704B"/>
    <w:rsid w:val="00772DF6"/>
    <w:rsid w:val="007756AF"/>
    <w:rsid w:val="00781C23"/>
    <w:rsid w:val="00790726"/>
    <w:rsid w:val="00792E7A"/>
    <w:rsid w:val="007945A6"/>
    <w:rsid w:val="00796B69"/>
    <w:rsid w:val="007A4B75"/>
    <w:rsid w:val="007A61F8"/>
    <w:rsid w:val="007B170D"/>
    <w:rsid w:val="007C3308"/>
    <w:rsid w:val="007D03C0"/>
    <w:rsid w:val="007D1F5E"/>
    <w:rsid w:val="007D33EF"/>
    <w:rsid w:val="007E263B"/>
    <w:rsid w:val="007F0083"/>
    <w:rsid w:val="007F052C"/>
    <w:rsid w:val="007F2C80"/>
    <w:rsid w:val="008029B8"/>
    <w:rsid w:val="008034FD"/>
    <w:rsid w:val="00803A85"/>
    <w:rsid w:val="00805451"/>
    <w:rsid w:val="0081621A"/>
    <w:rsid w:val="00824DB3"/>
    <w:rsid w:val="00835E38"/>
    <w:rsid w:val="00837B23"/>
    <w:rsid w:val="008424C2"/>
    <w:rsid w:val="0085547E"/>
    <w:rsid w:val="008556FC"/>
    <w:rsid w:val="00866E51"/>
    <w:rsid w:val="008A2275"/>
    <w:rsid w:val="008A4E67"/>
    <w:rsid w:val="008A528B"/>
    <w:rsid w:val="008A5F36"/>
    <w:rsid w:val="008A787B"/>
    <w:rsid w:val="008C5D27"/>
    <w:rsid w:val="008D494E"/>
    <w:rsid w:val="008D4F0E"/>
    <w:rsid w:val="008E23A3"/>
    <w:rsid w:val="008E6722"/>
    <w:rsid w:val="008E7C9D"/>
    <w:rsid w:val="008F01C4"/>
    <w:rsid w:val="008F2920"/>
    <w:rsid w:val="008F73DA"/>
    <w:rsid w:val="008F7836"/>
    <w:rsid w:val="009154F7"/>
    <w:rsid w:val="00923650"/>
    <w:rsid w:val="00927117"/>
    <w:rsid w:val="00930962"/>
    <w:rsid w:val="009370C4"/>
    <w:rsid w:val="00944406"/>
    <w:rsid w:val="0094646B"/>
    <w:rsid w:val="009517C7"/>
    <w:rsid w:val="00961915"/>
    <w:rsid w:val="00984F45"/>
    <w:rsid w:val="00994E1B"/>
    <w:rsid w:val="00996D95"/>
    <w:rsid w:val="009A0D21"/>
    <w:rsid w:val="009A1324"/>
    <w:rsid w:val="009A2E6C"/>
    <w:rsid w:val="009B0400"/>
    <w:rsid w:val="009B163E"/>
    <w:rsid w:val="009B27B9"/>
    <w:rsid w:val="009B3D78"/>
    <w:rsid w:val="009B5E46"/>
    <w:rsid w:val="009B720A"/>
    <w:rsid w:val="009C1111"/>
    <w:rsid w:val="009C3330"/>
    <w:rsid w:val="009C585F"/>
    <w:rsid w:val="009D2EB3"/>
    <w:rsid w:val="009D7BE9"/>
    <w:rsid w:val="009E2BC3"/>
    <w:rsid w:val="009E6D23"/>
    <w:rsid w:val="009F4FDA"/>
    <w:rsid w:val="00A001E0"/>
    <w:rsid w:val="00A020BF"/>
    <w:rsid w:val="00A12F68"/>
    <w:rsid w:val="00A1306A"/>
    <w:rsid w:val="00A21BE7"/>
    <w:rsid w:val="00A24915"/>
    <w:rsid w:val="00A41F1B"/>
    <w:rsid w:val="00A45E7B"/>
    <w:rsid w:val="00A57183"/>
    <w:rsid w:val="00A6158E"/>
    <w:rsid w:val="00A61890"/>
    <w:rsid w:val="00A643A4"/>
    <w:rsid w:val="00A72E11"/>
    <w:rsid w:val="00A72E9B"/>
    <w:rsid w:val="00A746AB"/>
    <w:rsid w:val="00A84861"/>
    <w:rsid w:val="00A84ADD"/>
    <w:rsid w:val="00A90F6E"/>
    <w:rsid w:val="00A921A0"/>
    <w:rsid w:val="00AA57C7"/>
    <w:rsid w:val="00AB4F07"/>
    <w:rsid w:val="00AB659A"/>
    <w:rsid w:val="00AB6AF6"/>
    <w:rsid w:val="00AC12C6"/>
    <w:rsid w:val="00AC55A5"/>
    <w:rsid w:val="00AD102B"/>
    <w:rsid w:val="00AD7797"/>
    <w:rsid w:val="00AE3583"/>
    <w:rsid w:val="00AE622F"/>
    <w:rsid w:val="00AE70C4"/>
    <w:rsid w:val="00AF25CB"/>
    <w:rsid w:val="00AF390C"/>
    <w:rsid w:val="00AF4DD6"/>
    <w:rsid w:val="00B000E0"/>
    <w:rsid w:val="00B06FD7"/>
    <w:rsid w:val="00B155B9"/>
    <w:rsid w:val="00B15F79"/>
    <w:rsid w:val="00B20464"/>
    <w:rsid w:val="00B22189"/>
    <w:rsid w:val="00B24526"/>
    <w:rsid w:val="00B27278"/>
    <w:rsid w:val="00B34060"/>
    <w:rsid w:val="00B37F8A"/>
    <w:rsid w:val="00B41B62"/>
    <w:rsid w:val="00B42012"/>
    <w:rsid w:val="00B42549"/>
    <w:rsid w:val="00B42E8D"/>
    <w:rsid w:val="00B54345"/>
    <w:rsid w:val="00B82A4C"/>
    <w:rsid w:val="00B848D4"/>
    <w:rsid w:val="00B87EDA"/>
    <w:rsid w:val="00BA1A11"/>
    <w:rsid w:val="00BA1CEE"/>
    <w:rsid w:val="00BA7CB1"/>
    <w:rsid w:val="00BB0C7F"/>
    <w:rsid w:val="00BB69E7"/>
    <w:rsid w:val="00BC24DC"/>
    <w:rsid w:val="00BC36D0"/>
    <w:rsid w:val="00BC4AD2"/>
    <w:rsid w:val="00BD0A67"/>
    <w:rsid w:val="00BD3B6D"/>
    <w:rsid w:val="00BD455B"/>
    <w:rsid w:val="00BE068B"/>
    <w:rsid w:val="00BE5D2E"/>
    <w:rsid w:val="00BE6C8C"/>
    <w:rsid w:val="00BF4B24"/>
    <w:rsid w:val="00BF531F"/>
    <w:rsid w:val="00BF5E0B"/>
    <w:rsid w:val="00C05395"/>
    <w:rsid w:val="00C117C8"/>
    <w:rsid w:val="00C12FC7"/>
    <w:rsid w:val="00C14617"/>
    <w:rsid w:val="00C157C1"/>
    <w:rsid w:val="00C2136F"/>
    <w:rsid w:val="00C2142C"/>
    <w:rsid w:val="00C24608"/>
    <w:rsid w:val="00C361AE"/>
    <w:rsid w:val="00C415B5"/>
    <w:rsid w:val="00C42B46"/>
    <w:rsid w:val="00C45162"/>
    <w:rsid w:val="00C642C8"/>
    <w:rsid w:val="00C70058"/>
    <w:rsid w:val="00C75DE2"/>
    <w:rsid w:val="00C82646"/>
    <w:rsid w:val="00C861B8"/>
    <w:rsid w:val="00C86C1D"/>
    <w:rsid w:val="00C94661"/>
    <w:rsid w:val="00C95955"/>
    <w:rsid w:val="00C96F40"/>
    <w:rsid w:val="00C977CD"/>
    <w:rsid w:val="00CA15B1"/>
    <w:rsid w:val="00CB1A91"/>
    <w:rsid w:val="00CB6E16"/>
    <w:rsid w:val="00CC0537"/>
    <w:rsid w:val="00CC2C2F"/>
    <w:rsid w:val="00CC2D57"/>
    <w:rsid w:val="00CC3EBC"/>
    <w:rsid w:val="00CF1944"/>
    <w:rsid w:val="00CF22B1"/>
    <w:rsid w:val="00D05FF9"/>
    <w:rsid w:val="00D0710D"/>
    <w:rsid w:val="00D1666B"/>
    <w:rsid w:val="00D205D7"/>
    <w:rsid w:val="00D35E7F"/>
    <w:rsid w:val="00D40B25"/>
    <w:rsid w:val="00D4175C"/>
    <w:rsid w:val="00D42273"/>
    <w:rsid w:val="00D6728F"/>
    <w:rsid w:val="00D90C58"/>
    <w:rsid w:val="00D916B5"/>
    <w:rsid w:val="00D94BF8"/>
    <w:rsid w:val="00D96B53"/>
    <w:rsid w:val="00DA0C42"/>
    <w:rsid w:val="00DA1617"/>
    <w:rsid w:val="00DA5A65"/>
    <w:rsid w:val="00DB10B9"/>
    <w:rsid w:val="00DB12E7"/>
    <w:rsid w:val="00DD08C7"/>
    <w:rsid w:val="00DD2B2E"/>
    <w:rsid w:val="00DE3F34"/>
    <w:rsid w:val="00DE4C00"/>
    <w:rsid w:val="00DE4C3A"/>
    <w:rsid w:val="00DF05DD"/>
    <w:rsid w:val="00DF088F"/>
    <w:rsid w:val="00E04658"/>
    <w:rsid w:val="00E10407"/>
    <w:rsid w:val="00E116FB"/>
    <w:rsid w:val="00E13532"/>
    <w:rsid w:val="00E217B9"/>
    <w:rsid w:val="00E22970"/>
    <w:rsid w:val="00E229D5"/>
    <w:rsid w:val="00E22DC9"/>
    <w:rsid w:val="00E2796A"/>
    <w:rsid w:val="00E31F1A"/>
    <w:rsid w:val="00E360BE"/>
    <w:rsid w:val="00E41952"/>
    <w:rsid w:val="00E528AA"/>
    <w:rsid w:val="00E561C3"/>
    <w:rsid w:val="00E57CBD"/>
    <w:rsid w:val="00E61317"/>
    <w:rsid w:val="00E74CF4"/>
    <w:rsid w:val="00E85622"/>
    <w:rsid w:val="00E86F3C"/>
    <w:rsid w:val="00E92008"/>
    <w:rsid w:val="00E9228B"/>
    <w:rsid w:val="00EA1557"/>
    <w:rsid w:val="00EA2B1C"/>
    <w:rsid w:val="00EB7E00"/>
    <w:rsid w:val="00EC58DD"/>
    <w:rsid w:val="00EC6D9A"/>
    <w:rsid w:val="00EC74CB"/>
    <w:rsid w:val="00ED033B"/>
    <w:rsid w:val="00ED0E8B"/>
    <w:rsid w:val="00ED61B0"/>
    <w:rsid w:val="00ED7128"/>
    <w:rsid w:val="00ED72CE"/>
    <w:rsid w:val="00EE05F1"/>
    <w:rsid w:val="00EE614F"/>
    <w:rsid w:val="00EE73D8"/>
    <w:rsid w:val="00EF3AE1"/>
    <w:rsid w:val="00EF6254"/>
    <w:rsid w:val="00EF671D"/>
    <w:rsid w:val="00F022D5"/>
    <w:rsid w:val="00F07056"/>
    <w:rsid w:val="00F11E89"/>
    <w:rsid w:val="00F15B9C"/>
    <w:rsid w:val="00F16D63"/>
    <w:rsid w:val="00F240BB"/>
    <w:rsid w:val="00F27D43"/>
    <w:rsid w:val="00F359C9"/>
    <w:rsid w:val="00F37804"/>
    <w:rsid w:val="00F37F63"/>
    <w:rsid w:val="00F67CF9"/>
    <w:rsid w:val="00F67EF7"/>
    <w:rsid w:val="00F7556B"/>
    <w:rsid w:val="00F773B7"/>
    <w:rsid w:val="00F83E52"/>
    <w:rsid w:val="00FB7B23"/>
    <w:rsid w:val="00FC5149"/>
    <w:rsid w:val="00FD3441"/>
    <w:rsid w:val="00FD34A1"/>
    <w:rsid w:val="00FD746C"/>
    <w:rsid w:val="00FE290F"/>
    <w:rsid w:val="00FE7F4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85EB75E-590D-45F3-9532-A81C40EA36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1697016">
      <w:bodyDiv w:val="1"/>
      <w:marLeft w:val="0"/>
      <w:marRight w:val="0"/>
      <w:marTop w:val="0"/>
      <w:marBottom w:val="0"/>
      <w:divBdr>
        <w:top w:val="none" w:sz="0" w:space="0" w:color="auto"/>
        <w:left w:val="none" w:sz="0" w:space="0" w:color="auto"/>
        <w:bottom w:val="none" w:sz="0" w:space="0" w:color="auto"/>
        <w:right w:val="none" w:sz="0" w:space="0" w:color="auto"/>
      </w:divBdr>
    </w:div>
    <w:div w:id="18728367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5.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chart" Target="charts/chart4.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chart" Target="charts/chart3.xml"/><Relationship Id="rId11" Type="http://schemas.openxmlformats.org/officeDocument/2006/relationships/image" Target="media/image2.png"/><Relationship Id="rId5" Type="http://schemas.openxmlformats.org/officeDocument/2006/relationships/chart" Target="charts/chart2.xml"/><Relationship Id="rId10" Type="http://schemas.openxmlformats.org/officeDocument/2006/relationships/image" Target="media/image1.png"/><Relationship Id="rId4" Type="http://schemas.openxmlformats.org/officeDocument/2006/relationships/chart" Target="charts/chart1.xml"/><Relationship Id="rId9" Type="http://schemas.openxmlformats.org/officeDocument/2006/relationships/chart" Target="charts/chart6.xml"/></Relationships>
</file>

<file path=word/charts/_rels/chart1.xml.rels><?xml version="1.0" encoding="UTF-8" standalone="yes"?>
<Relationships xmlns="http://schemas.openxmlformats.org/package/2006/relationships"><Relationship Id="rId3" Type="http://schemas.openxmlformats.org/officeDocument/2006/relationships/oleObject" Target="file:///D:\Dropbox\CIE5318%20Fieldwork%20Hydraulic%20Engineering\Sand%20samples\Sand%20sample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Dropbox\CIE5318%20Fieldwork%20Hydraulic%20Engineering\Sand%20samples\Sand%20samples.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D:\Dropbox\CIE5318%20Fieldwork%20Hydraulic%20Engineering\Sand%20samples\Sand%20samples.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D:\Dropbox\CIE5318%20Fieldwork%20Hydraulic%20Engineering\Sand%20samples\Sand%20samples.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D:\Dropbox\CIE5318%20Fieldwork%20Hydraulic%20Engineering\Sand%20samples\Sand%20samples.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D:\Dropbox\CIE5318%20Fieldwork%20Hydraulic%20Engineering\Sand%20samples\Sand%20samples.xlsx" TargetMode="External"/><Relationship Id="rId2" Type="http://schemas.microsoft.com/office/2011/relationships/chartColorStyle" Target="colors6.xml"/><Relationship Id="rId1" Type="http://schemas.microsoft.com/office/2011/relationships/chartStyle" Target="style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NL"/>
              <a:t>North Beach</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NL"/>
        </a:p>
      </c:txPr>
    </c:title>
    <c:autoTitleDeleted val="0"/>
    <c:plotArea>
      <c:layout/>
      <c:scatterChart>
        <c:scatterStyle val="smoothMarker"/>
        <c:varyColors val="0"/>
        <c:ser>
          <c:idx val="0"/>
          <c:order val="0"/>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Calculations!$AJ$2:$AR$2</c:f>
              <c:numCache>
                <c:formatCode>General</c:formatCode>
                <c:ptCount val="9"/>
                <c:pt idx="0">
                  <c:v>3.15</c:v>
                </c:pt>
                <c:pt idx="1">
                  <c:v>2</c:v>
                </c:pt>
                <c:pt idx="2">
                  <c:v>1</c:v>
                </c:pt>
                <c:pt idx="3">
                  <c:v>0.5</c:v>
                </c:pt>
                <c:pt idx="4">
                  <c:v>0.25</c:v>
                </c:pt>
                <c:pt idx="5">
                  <c:v>0.18</c:v>
                </c:pt>
                <c:pt idx="6">
                  <c:v>0.125</c:v>
                </c:pt>
                <c:pt idx="7">
                  <c:v>0.09</c:v>
                </c:pt>
                <c:pt idx="8">
                  <c:v>5.2999999999999999E-2</c:v>
                </c:pt>
              </c:numCache>
            </c:numRef>
          </c:xVal>
          <c:yVal>
            <c:numRef>
              <c:f>Calculations!$AJ$12:$AR$12</c:f>
              <c:numCache>
                <c:formatCode>0.00%</c:formatCode>
                <c:ptCount val="9"/>
                <c:pt idx="0">
                  <c:v>0.99999999999999989</c:v>
                </c:pt>
                <c:pt idx="1">
                  <c:v>0.99919919919919986</c:v>
                </c:pt>
                <c:pt idx="2">
                  <c:v>0.99319319319319366</c:v>
                </c:pt>
                <c:pt idx="3">
                  <c:v>0.94294294294294367</c:v>
                </c:pt>
                <c:pt idx="4">
                  <c:v>0.76316316316316368</c:v>
                </c:pt>
                <c:pt idx="5">
                  <c:v>0.24844844844844871</c:v>
                </c:pt>
                <c:pt idx="6">
                  <c:v>5.7657657657657513E-2</c:v>
                </c:pt>
                <c:pt idx="7">
                  <c:v>8.4084084084087192E-3</c:v>
                </c:pt>
                <c:pt idx="8">
                  <c:v>8.0080080080120969E-4</c:v>
                </c:pt>
              </c:numCache>
            </c:numRef>
          </c:yVal>
          <c:smooth val="1"/>
          <c:extLst>
            <c:ext xmlns:c16="http://schemas.microsoft.com/office/drawing/2014/chart" uri="{C3380CC4-5D6E-409C-BE32-E72D297353CC}">
              <c16:uniqueId val="{00000000-55C9-4D43-97FE-2C26BE78E381}"/>
            </c:ext>
          </c:extLst>
        </c:ser>
        <c:ser>
          <c:idx val="1"/>
          <c:order val="1"/>
          <c:tx>
            <c:v>9</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Calculations!$AJ$2:$AR$2</c:f>
              <c:numCache>
                <c:formatCode>General</c:formatCode>
                <c:ptCount val="9"/>
                <c:pt idx="0">
                  <c:v>3.15</c:v>
                </c:pt>
                <c:pt idx="1">
                  <c:v>2</c:v>
                </c:pt>
                <c:pt idx="2">
                  <c:v>1</c:v>
                </c:pt>
                <c:pt idx="3">
                  <c:v>0.5</c:v>
                </c:pt>
                <c:pt idx="4">
                  <c:v>0.25</c:v>
                </c:pt>
                <c:pt idx="5">
                  <c:v>0.18</c:v>
                </c:pt>
                <c:pt idx="6">
                  <c:v>0.125</c:v>
                </c:pt>
                <c:pt idx="7">
                  <c:v>0.09</c:v>
                </c:pt>
                <c:pt idx="8">
                  <c:v>5.2999999999999999E-2</c:v>
                </c:pt>
              </c:numCache>
            </c:numRef>
          </c:xVal>
          <c:yVal>
            <c:numRef>
              <c:f>Calculations!$AJ$11:$AR$11</c:f>
              <c:numCache>
                <c:formatCode>0.00%</c:formatCode>
                <c:ptCount val="9"/>
                <c:pt idx="0">
                  <c:v>1</c:v>
                </c:pt>
                <c:pt idx="1">
                  <c:v>1</c:v>
                </c:pt>
                <c:pt idx="2">
                  <c:v>0.99925550923168627</c:v>
                </c:pt>
                <c:pt idx="3">
                  <c:v>0.99568195354377664</c:v>
                </c:pt>
                <c:pt idx="4">
                  <c:v>0.9602441929720078</c:v>
                </c:pt>
                <c:pt idx="5">
                  <c:v>0.6526206075044676</c:v>
                </c:pt>
                <c:pt idx="6">
                  <c:v>0.27412150089338982</c:v>
                </c:pt>
                <c:pt idx="7">
                  <c:v>4.7051816557475847E-2</c:v>
                </c:pt>
                <c:pt idx="8">
                  <c:v>4.6158427635506066E-3</c:v>
                </c:pt>
              </c:numCache>
            </c:numRef>
          </c:yVal>
          <c:smooth val="1"/>
          <c:extLst>
            <c:ext xmlns:c16="http://schemas.microsoft.com/office/drawing/2014/chart" uri="{C3380CC4-5D6E-409C-BE32-E72D297353CC}">
              <c16:uniqueId val="{00000001-55C9-4D43-97FE-2C26BE78E381}"/>
            </c:ext>
          </c:extLst>
        </c:ser>
        <c:ser>
          <c:idx val="2"/>
          <c:order val="2"/>
          <c:tx>
            <c:v>11</c:v>
          </c:tx>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Calculations!$AJ$2:$AR$2</c:f>
              <c:numCache>
                <c:formatCode>General</c:formatCode>
                <c:ptCount val="9"/>
                <c:pt idx="0">
                  <c:v>3.15</c:v>
                </c:pt>
                <c:pt idx="1">
                  <c:v>2</c:v>
                </c:pt>
                <c:pt idx="2">
                  <c:v>1</c:v>
                </c:pt>
                <c:pt idx="3">
                  <c:v>0.5</c:v>
                </c:pt>
                <c:pt idx="4">
                  <c:v>0.25</c:v>
                </c:pt>
                <c:pt idx="5">
                  <c:v>0.18</c:v>
                </c:pt>
                <c:pt idx="6">
                  <c:v>0.125</c:v>
                </c:pt>
                <c:pt idx="7">
                  <c:v>0.09</c:v>
                </c:pt>
                <c:pt idx="8">
                  <c:v>5.2999999999999999E-2</c:v>
                </c:pt>
              </c:numCache>
            </c:numRef>
          </c:xVal>
          <c:yVal>
            <c:numRef>
              <c:f>Calculations!$AJ$13:$AR$13</c:f>
              <c:numCache>
                <c:formatCode>0.00%</c:formatCode>
                <c:ptCount val="9"/>
                <c:pt idx="0">
                  <c:v>1</c:v>
                </c:pt>
                <c:pt idx="1">
                  <c:v>1</c:v>
                </c:pt>
                <c:pt idx="2">
                  <c:v>0.99963430243188922</c:v>
                </c:pt>
                <c:pt idx="3">
                  <c:v>0.99232035106966621</c:v>
                </c:pt>
                <c:pt idx="4">
                  <c:v>0.94935088681660318</c:v>
                </c:pt>
                <c:pt idx="5">
                  <c:v>0.69427683305906029</c:v>
                </c:pt>
                <c:pt idx="6">
                  <c:v>0.4253062717132931</c:v>
                </c:pt>
                <c:pt idx="7">
                  <c:v>0.18065459864691957</c:v>
                </c:pt>
                <c:pt idx="8">
                  <c:v>3.0718595721338515E-2</c:v>
                </c:pt>
              </c:numCache>
            </c:numRef>
          </c:yVal>
          <c:smooth val="1"/>
          <c:extLst>
            <c:ext xmlns:c16="http://schemas.microsoft.com/office/drawing/2014/chart" uri="{C3380CC4-5D6E-409C-BE32-E72D297353CC}">
              <c16:uniqueId val="{00000002-55C9-4D43-97FE-2C26BE78E381}"/>
            </c:ext>
          </c:extLst>
        </c:ser>
        <c:ser>
          <c:idx val="3"/>
          <c:order val="3"/>
          <c:tx>
            <c:v>12</c:v>
          </c:tx>
          <c:spPr>
            <a:ln w="19050" cap="rnd">
              <a:solidFill>
                <a:schemeClr val="accent4"/>
              </a:solidFill>
              <a:round/>
            </a:ln>
            <a:effectLst/>
          </c:spPr>
          <c:marker>
            <c:symbol val="circle"/>
            <c:size val="5"/>
            <c:spPr>
              <a:solidFill>
                <a:schemeClr val="accent4"/>
              </a:solidFill>
              <a:ln w="9525">
                <a:solidFill>
                  <a:schemeClr val="accent4"/>
                </a:solidFill>
              </a:ln>
              <a:effectLst/>
            </c:spPr>
          </c:marker>
          <c:xVal>
            <c:numRef>
              <c:f>Calculations!$AJ$2:$AR$2</c:f>
              <c:numCache>
                <c:formatCode>General</c:formatCode>
                <c:ptCount val="9"/>
                <c:pt idx="0">
                  <c:v>3.15</c:v>
                </c:pt>
                <c:pt idx="1">
                  <c:v>2</c:v>
                </c:pt>
                <c:pt idx="2">
                  <c:v>1</c:v>
                </c:pt>
                <c:pt idx="3">
                  <c:v>0.5</c:v>
                </c:pt>
                <c:pt idx="4">
                  <c:v>0.25</c:v>
                </c:pt>
                <c:pt idx="5">
                  <c:v>0.18</c:v>
                </c:pt>
                <c:pt idx="6">
                  <c:v>0.125</c:v>
                </c:pt>
                <c:pt idx="7">
                  <c:v>0.09</c:v>
                </c:pt>
                <c:pt idx="8">
                  <c:v>5.2999999999999999E-2</c:v>
                </c:pt>
              </c:numCache>
            </c:numRef>
          </c:xVal>
          <c:yVal>
            <c:numRef>
              <c:f>Calculations!$AJ$14:$AR$14</c:f>
              <c:numCache>
                <c:formatCode>0.00%</c:formatCode>
                <c:ptCount val="9"/>
                <c:pt idx="0">
                  <c:v>1</c:v>
                </c:pt>
                <c:pt idx="1">
                  <c:v>0.9973190348525468</c:v>
                </c:pt>
                <c:pt idx="2">
                  <c:v>0.99657432231158749</c:v>
                </c:pt>
                <c:pt idx="3">
                  <c:v>0.98942508191837897</c:v>
                </c:pt>
                <c:pt idx="4">
                  <c:v>0.96365802800119083</c:v>
                </c:pt>
                <c:pt idx="5">
                  <c:v>0.83139708072683827</c:v>
                </c:pt>
                <c:pt idx="6">
                  <c:v>0.61081322609472677</c:v>
                </c:pt>
                <c:pt idx="7">
                  <c:v>0.27330950253202319</c:v>
                </c:pt>
                <c:pt idx="8">
                  <c:v>9.5621090259160824E-2</c:v>
                </c:pt>
              </c:numCache>
            </c:numRef>
          </c:yVal>
          <c:smooth val="1"/>
          <c:extLst>
            <c:ext xmlns:c16="http://schemas.microsoft.com/office/drawing/2014/chart" uri="{C3380CC4-5D6E-409C-BE32-E72D297353CC}">
              <c16:uniqueId val="{00000003-55C9-4D43-97FE-2C26BE78E381}"/>
            </c:ext>
          </c:extLst>
        </c:ser>
        <c:ser>
          <c:idx val="4"/>
          <c:order val="4"/>
          <c:tx>
            <c:v>Beach</c:v>
          </c:tx>
          <c:spPr>
            <a:ln w="19050" cap="rnd">
              <a:solidFill>
                <a:schemeClr val="accent5"/>
              </a:solidFill>
              <a:round/>
            </a:ln>
            <a:effectLst/>
          </c:spPr>
          <c:marker>
            <c:symbol val="circle"/>
            <c:size val="5"/>
            <c:spPr>
              <a:solidFill>
                <a:schemeClr val="accent5"/>
              </a:solidFill>
              <a:ln w="9525">
                <a:solidFill>
                  <a:schemeClr val="accent5"/>
                </a:solidFill>
              </a:ln>
              <a:effectLst/>
            </c:spPr>
          </c:marker>
          <c:xVal>
            <c:numRef>
              <c:f>Calculations!$AJ$2:$AR$2</c:f>
              <c:numCache>
                <c:formatCode>General</c:formatCode>
                <c:ptCount val="9"/>
                <c:pt idx="0">
                  <c:v>3.15</c:v>
                </c:pt>
                <c:pt idx="1">
                  <c:v>2</c:v>
                </c:pt>
                <c:pt idx="2">
                  <c:v>1</c:v>
                </c:pt>
                <c:pt idx="3">
                  <c:v>0.5</c:v>
                </c:pt>
                <c:pt idx="4">
                  <c:v>0.25</c:v>
                </c:pt>
                <c:pt idx="5">
                  <c:v>0.18</c:v>
                </c:pt>
                <c:pt idx="6">
                  <c:v>0.125</c:v>
                </c:pt>
                <c:pt idx="7">
                  <c:v>0.09</c:v>
                </c:pt>
                <c:pt idx="8">
                  <c:v>5.2999999999999999E-2</c:v>
                </c:pt>
              </c:numCache>
            </c:numRef>
          </c:xVal>
          <c:yVal>
            <c:numRef>
              <c:f>Calculations!$AJ$20:$AR$20</c:f>
              <c:numCache>
                <c:formatCode>0.00%</c:formatCode>
                <c:ptCount val="9"/>
                <c:pt idx="0">
                  <c:v>1</c:v>
                </c:pt>
                <c:pt idx="1">
                  <c:v>0.99154334038055014</c:v>
                </c:pt>
                <c:pt idx="2">
                  <c:v>0.93009161381254435</c:v>
                </c:pt>
                <c:pt idx="3">
                  <c:v>0.29415081042988062</c:v>
                </c:pt>
                <c:pt idx="4">
                  <c:v>3.2417195207893434E-2</c:v>
                </c:pt>
                <c:pt idx="5">
                  <c:v>6.6243833685693983E-3</c:v>
                </c:pt>
                <c:pt idx="6">
                  <c:v>5.496828752642513E-3</c:v>
                </c:pt>
                <c:pt idx="7">
                  <c:v>3.805496828753187E-3</c:v>
                </c:pt>
                <c:pt idx="8">
                  <c:v>1.8322762508808375E-3</c:v>
                </c:pt>
              </c:numCache>
            </c:numRef>
          </c:yVal>
          <c:smooth val="1"/>
          <c:extLst>
            <c:ext xmlns:c16="http://schemas.microsoft.com/office/drawing/2014/chart" uri="{C3380CC4-5D6E-409C-BE32-E72D297353CC}">
              <c16:uniqueId val="{00000004-55C9-4D43-97FE-2C26BE78E381}"/>
            </c:ext>
          </c:extLst>
        </c:ser>
        <c:ser>
          <c:idx val="5"/>
          <c:order val="5"/>
          <c:tx>
            <c:v>Waterline</c:v>
          </c:tx>
          <c:spPr>
            <a:ln w="19050" cap="rnd">
              <a:solidFill>
                <a:schemeClr val="accent6"/>
              </a:solidFill>
              <a:round/>
            </a:ln>
            <a:effectLst/>
          </c:spPr>
          <c:marker>
            <c:symbol val="circle"/>
            <c:size val="5"/>
            <c:spPr>
              <a:solidFill>
                <a:schemeClr val="accent6"/>
              </a:solidFill>
              <a:ln w="9525">
                <a:solidFill>
                  <a:schemeClr val="accent6"/>
                </a:solidFill>
              </a:ln>
              <a:effectLst/>
            </c:spPr>
          </c:marker>
          <c:xVal>
            <c:numRef>
              <c:f>Calculations!$AJ$2:$AR$2</c:f>
              <c:numCache>
                <c:formatCode>General</c:formatCode>
                <c:ptCount val="9"/>
                <c:pt idx="0">
                  <c:v>3.15</c:v>
                </c:pt>
                <c:pt idx="1">
                  <c:v>2</c:v>
                </c:pt>
                <c:pt idx="2">
                  <c:v>1</c:v>
                </c:pt>
                <c:pt idx="3">
                  <c:v>0.5</c:v>
                </c:pt>
                <c:pt idx="4">
                  <c:v>0.25</c:v>
                </c:pt>
                <c:pt idx="5">
                  <c:v>0.18</c:v>
                </c:pt>
                <c:pt idx="6">
                  <c:v>0.125</c:v>
                </c:pt>
                <c:pt idx="7">
                  <c:v>0.09</c:v>
                </c:pt>
                <c:pt idx="8">
                  <c:v>5.2999999999999999E-2</c:v>
                </c:pt>
              </c:numCache>
            </c:numRef>
          </c:xVal>
          <c:yVal>
            <c:numRef>
              <c:f>Calculations!$AJ$19:$AR$19</c:f>
              <c:numCache>
                <c:formatCode>0.00%</c:formatCode>
                <c:ptCount val="9"/>
                <c:pt idx="0">
                  <c:v>1</c:v>
                </c:pt>
                <c:pt idx="1">
                  <c:v>1</c:v>
                </c:pt>
                <c:pt idx="2">
                  <c:v>0.99461434891325307</c:v>
                </c:pt>
                <c:pt idx="3">
                  <c:v>0.7505289478745919</c:v>
                </c:pt>
                <c:pt idx="4">
                  <c:v>0.30121177149451861</c:v>
                </c:pt>
                <c:pt idx="5">
                  <c:v>4.4239276783997132E-2</c:v>
                </c:pt>
                <c:pt idx="6">
                  <c:v>1.11559915368337E-2</c:v>
                </c:pt>
                <c:pt idx="7">
                  <c:v>5.7703404500922392E-4</c:v>
                </c:pt>
                <c:pt idx="8">
                  <c:v>-9.6172340834797766E-4</c:v>
                </c:pt>
              </c:numCache>
            </c:numRef>
          </c:yVal>
          <c:smooth val="1"/>
          <c:extLst>
            <c:ext xmlns:c16="http://schemas.microsoft.com/office/drawing/2014/chart" uri="{C3380CC4-5D6E-409C-BE32-E72D297353CC}">
              <c16:uniqueId val="{00000005-55C9-4D43-97FE-2C26BE78E381}"/>
            </c:ext>
          </c:extLst>
        </c:ser>
        <c:dLbls>
          <c:showLegendKey val="0"/>
          <c:showVal val="0"/>
          <c:showCatName val="0"/>
          <c:showSerName val="0"/>
          <c:showPercent val="0"/>
          <c:showBubbleSize val="0"/>
        </c:dLbls>
        <c:axId val="367907544"/>
        <c:axId val="367907872"/>
      </c:scatterChart>
      <c:valAx>
        <c:axId val="367907544"/>
        <c:scaling>
          <c:logBase val="10"/>
          <c:orientation val="minMax"/>
          <c:max val="3.15"/>
          <c:min val="5.000000000000001E-2"/>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a:t>Sieve</a:t>
                </a:r>
                <a:r>
                  <a:rPr lang="nl-NL" baseline="0"/>
                  <a:t> diameter (mm)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nl-NL"/>
            </a:p>
          </c:txPr>
        </c:title>
        <c:numFmt formatCode="General" sourceLinked="1"/>
        <c:majorTickMark val="in"/>
        <c:minorTickMark val="in"/>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crossAx val="367907872"/>
        <c:crosses val="autoZero"/>
        <c:crossBetween val="midCat"/>
      </c:valAx>
      <c:valAx>
        <c:axId val="367907872"/>
        <c:scaling>
          <c:orientation val="minMax"/>
          <c:max val="1"/>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a:t>Cumulative mass percentage (%)</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nl-NL"/>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0"/>
          <a:lstStyle/>
          <a:p>
            <a:pPr>
              <a:defRPr sz="900" b="0" i="0" u="none" strike="noStrike" kern="1200" baseline="0">
                <a:solidFill>
                  <a:schemeClr val="tx1">
                    <a:lumMod val="65000"/>
                    <a:lumOff val="35000"/>
                  </a:schemeClr>
                </a:solidFill>
                <a:latin typeface="+mn-lt"/>
                <a:ea typeface="+mn-ea"/>
                <a:cs typeface="+mn-cs"/>
              </a:defRPr>
            </a:pPr>
            <a:endParaRPr lang="nl-NL"/>
          </a:p>
        </c:txPr>
        <c:crossAx val="367907544"/>
        <c:crossesAt val="1.0000000000000002E-2"/>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NL"/>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NL"/>
              <a:t>South</a:t>
            </a:r>
            <a:r>
              <a:rPr lang="nl-NL" baseline="0"/>
              <a:t> Beach: 3, 4, 5 + Beach</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NL"/>
        </a:p>
      </c:txPr>
    </c:title>
    <c:autoTitleDeleted val="0"/>
    <c:plotArea>
      <c:layout/>
      <c:scatterChart>
        <c:scatterStyle val="smoothMarker"/>
        <c:varyColors val="0"/>
        <c:ser>
          <c:idx val="3"/>
          <c:order val="0"/>
          <c:tx>
            <c:v>4</c:v>
          </c:tx>
          <c:spPr>
            <a:ln w="19050" cap="rnd">
              <a:solidFill>
                <a:schemeClr val="accent4"/>
              </a:solidFill>
              <a:round/>
            </a:ln>
            <a:effectLst/>
          </c:spPr>
          <c:marker>
            <c:symbol val="circle"/>
            <c:size val="5"/>
            <c:spPr>
              <a:solidFill>
                <a:schemeClr val="accent4"/>
              </a:solidFill>
              <a:ln w="9525">
                <a:solidFill>
                  <a:schemeClr val="accent4"/>
                </a:solidFill>
              </a:ln>
              <a:effectLst/>
            </c:spPr>
          </c:marker>
          <c:xVal>
            <c:numRef>
              <c:f>Calculations!$AJ$2:$AR$2</c:f>
              <c:numCache>
                <c:formatCode>General</c:formatCode>
                <c:ptCount val="9"/>
                <c:pt idx="0">
                  <c:v>3.15</c:v>
                </c:pt>
                <c:pt idx="1">
                  <c:v>2</c:v>
                </c:pt>
                <c:pt idx="2">
                  <c:v>1</c:v>
                </c:pt>
                <c:pt idx="3">
                  <c:v>0.5</c:v>
                </c:pt>
                <c:pt idx="4">
                  <c:v>0.25</c:v>
                </c:pt>
                <c:pt idx="5">
                  <c:v>0.18</c:v>
                </c:pt>
                <c:pt idx="6">
                  <c:v>0.125</c:v>
                </c:pt>
                <c:pt idx="7">
                  <c:v>0.09</c:v>
                </c:pt>
                <c:pt idx="8">
                  <c:v>5.2999999999999999E-2</c:v>
                </c:pt>
              </c:numCache>
            </c:numRef>
          </c:xVal>
          <c:yVal>
            <c:numRef>
              <c:f>Calculations!$AJ$7:$AR$7</c:f>
              <c:numCache>
                <c:formatCode>0.00%</c:formatCode>
                <c:ptCount val="9"/>
                <c:pt idx="0">
                  <c:v>1</c:v>
                </c:pt>
                <c:pt idx="1">
                  <c:v>1</c:v>
                </c:pt>
                <c:pt idx="2">
                  <c:v>0.99831564763348557</c:v>
                </c:pt>
                <c:pt idx="3">
                  <c:v>0.96850261074616906</c:v>
                </c:pt>
                <c:pt idx="4">
                  <c:v>0.81590028633990352</c:v>
                </c:pt>
                <c:pt idx="5">
                  <c:v>0.34714502273875841</c:v>
                </c:pt>
                <c:pt idx="6">
                  <c:v>0.12329459322890504</c:v>
                </c:pt>
                <c:pt idx="7">
                  <c:v>1.3811689405425386E-2</c:v>
                </c:pt>
                <c:pt idx="8">
                  <c:v>6.7374094660733064E-4</c:v>
                </c:pt>
              </c:numCache>
            </c:numRef>
          </c:yVal>
          <c:smooth val="1"/>
          <c:extLst>
            <c:ext xmlns:c16="http://schemas.microsoft.com/office/drawing/2014/chart" uri="{C3380CC4-5D6E-409C-BE32-E72D297353CC}">
              <c16:uniqueId val="{00000000-AC0C-414A-906F-145D44AB62DF}"/>
            </c:ext>
          </c:extLst>
        </c:ser>
        <c:ser>
          <c:idx val="0"/>
          <c:order val="1"/>
          <c:tx>
            <c:v>5</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Calculations!$AJ$2:$AR$2</c:f>
              <c:numCache>
                <c:formatCode>General</c:formatCode>
                <c:ptCount val="9"/>
                <c:pt idx="0">
                  <c:v>3.15</c:v>
                </c:pt>
                <c:pt idx="1">
                  <c:v>2</c:v>
                </c:pt>
                <c:pt idx="2">
                  <c:v>1</c:v>
                </c:pt>
                <c:pt idx="3">
                  <c:v>0.5</c:v>
                </c:pt>
                <c:pt idx="4">
                  <c:v>0.25</c:v>
                </c:pt>
                <c:pt idx="5">
                  <c:v>0.18</c:v>
                </c:pt>
                <c:pt idx="6">
                  <c:v>0.125</c:v>
                </c:pt>
                <c:pt idx="7">
                  <c:v>0.09</c:v>
                </c:pt>
                <c:pt idx="8">
                  <c:v>5.2999999999999999E-2</c:v>
                </c:pt>
              </c:numCache>
            </c:numRef>
          </c:xVal>
          <c:yVal>
            <c:numRef>
              <c:f>Calculations!$AJ$8:$AR$8</c:f>
              <c:numCache>
                <c:formatCode>0.00%</c:formatCode>
                <c:ptCount val="9"/>
                <c:pt idx="0">
                  <c:v>0.99999999999999989</c:v>
                </c:pt>
                <c:pt idx="1">
                  <c:v>0.99999999999999989</c:v>
                </c:pt>
                <c:pt idx="2">
                  <c:v>0.9976794002142092</c:v>
                </c:pt>
                <c:pt idx="3">
                  <c:v>0.95858621920742593</c:v>
                </c:pt>
                <c:pt idx="4">
                  <c:v>0.71420921099607282</c:v>
                </c:pt>
                <c:pt idx="5">
                  <c:v>0.17101035344519791</c:v>
                </c:pt>
                <c:pt idx="6">
                  <c:v>3.7486611924312151E-2</c:v>
                </c:pt>
                <c:pt idx="7">
                  <c:v>3.034630489111317E-3</c:v>
                </c:pt>
                <c:pt idx="8">
                  <c:v>-1.0710460549804052E-3</c:v>
                </c:pt>
              </c:numCache>
            </c:numRef>
          </c:yVal>
          <c:smooth val="1"/>
          <c:extLst>
            <c:ext xmlns:c16="http://schemas.microsoft.com/office/drawing/2014/chart" uri="{C3380CC4-5D6E-409C-BE32-E72D297353CC}">
              <c16:uniqueId val="{00000001-AC0C-414A-906F-145D44AB62DF}"/>
            </c:ext>
          </c:extLst>
        </c:ser>
        <c:ser>
          <c:idx val="1"/>
          <c:order val="2"/>
          <c:tx>
            <c:v>3</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Calculations!$AJ$2:$AR$2</c:f>
              <c:numCache>
                <c:formatCode>General</c:formatCode>
                <c:ptCount val="9"/>
                <c:pt idx="0">
                  <c:v>3.15</c:v>
                </c:pt>
                <c:pt idx="1">
                  <c:v>2</c:v>
                </c:pt>
                <c:pt idx="2">
                  <c:v>1</c:v>
                </c:pt>
                <c:pt idx="3">
                  <c:v>0.5</c:v>
                </c:pt>
                <c:pt idx="4">
                  <c:v>0.25</c:v>
                </c:pt>
                <c:pt idx="5">
                  <c:v>0.18</c:v>
                </c:pt>
                <c:pt idx="6">
                  <c:v>0.125</c:v>
                </c:pt>
                <c:pt idx="7">
                  <c:v>0.09</c:v>
                </c:pt>
                <c:pt idx="8">
                  <c:v>5.2999999999999999E-2</c:v>
                </c:pt>
              </c:numCache>
            </c:numRef>
          </c:xVal>
          <c:yVal>
            <c:numRef>
              <c:f>Calculations!$AJ$6:$AR$6</c:f>
              <c:numCache>
                <c:formatCode>0.00%</c:formatCode>
                <c:ptCount val="9"/>
                <c:pt idx="0">
                  <c:v>0.99999999999999989</c:v>
                </c:pt>
                <c:pt idx="1">
                  <c:v>0.99999999999999989</c:v>
                </c:pt>
                <c:pt idx="2">
                  <c:v>0.99981972237245365</c:v>
                </c:pt>
                <c:pt idx="3">
                  <c:v>0.98071029385253294</c:v>
                </c:pt>
                <c:pt idx="4">
                  <c:v>0.86407066882999783</c:v>
                </c:pt>
                <c:pt idx="5">
                  <c:v>0.35983414458265672</c:v>
                </c:pt>
                <c:pt idx="6">
                  <c:v>9.590769785469605E-2</c:v>
                </c:pt>
                <c:pt idx="7">
                  <c:v>8.8336037497748141E-3</c:v>
                </c:pt>
                <c:pt idx="8">
                  <c:v>1.0816657652785696E-3</c:v>
                </c:pt>
              </c:numCache>
            </c:numRef>
          </c:yVal>
          <c:smooth val="1"/>
          <c:extLst>
            <c:ext xmlns:c16="http://schemas.microsoft.com/office/drawing/2014/chart" uri="{C3380CC4-5D6E-409C-BE32-E72D297353CC}">
              <c16:uniqueId val="{00000002-AC0C-414A-906F-145D44AB62DF}"/>
            </c:ext>
          </c:extLst>
        </c:ser>
        <c:ser>
          <c:idx val="2"/>
          <c:order val="3"/>
          <c:tx>
            <c:v>Beach</c:v>
          </c:tx>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Calculations!$AJ$2:$AS$2</c:f>
              <c:numCache>
                <c:formatCode>General</c:formatCode>
                <c:ptCount val="10"/>
                <c:pt idx="0">
                  <c:v>3.15</c:v>
                </c:pt>
                <c:pt idx="1">
                  <c:v>2</c:v>
                </c:pt>
                <c:pt idx="2">
                  <c:v>1</c:v>
                </c:pt>
                <c:pt idx="3">
                  <c:v>0.5</c:v>
                </c:pt>
                <c:pt idx="4">
                  <c:v>0.25</c:v>
                </c:pt>
                <c:pt idx="5">
                  <c:v>0.18</c:v>
                </c:pt>
                <c:pt idx="6">
                  <c:v>0.125</c:v>
                </c:pt>
                <c:pt idx="7">
                  <c:v>0.09</c:v>
                </c:pt>
                <c:pt idx="8">
                  <c:v>5.2999999999999999E-2</c:v>
                </c:pt>
                <c:pt idx="9">
                  <c:v>0.01</c:v>
                </c:pt>
              </c:numCache>
            </c:numRef>
          </c:xVal>
          <c:yVal>
            <c:numRef>
              <c:f>Calculations!$AJ$22:$AS$22</c:f>
              <c:numCache>
                <c:formatCode>0.00%</c:formatCode>
                <c:ptCount val="10"/>
                <c:pt idx="0">
                  <c:v>1</c:v>
                </c:pt>
                <c:pt idx="1">
                  <c:v>1</c:v>
                </c:pt>
                <c:pt idx="2">
                  <c:v>0.99471570492496297</c:v>
                </c:pt>
                <c:pt idx="3">
                  <c:v>0.88522511097019629</c:v>
                </c:pt>
                <c:pt idx="4">
                  <c:v>0.5174381737476218</c:v>
                </c:pt>
                <c:pt idx="5">
                  <c:v>4.2485732403296055E-2</c:v>
                </c:pt>
                <c:pt idx="6">
                  <c:v>8.032128514054937E-3</c:v>
                </c:pt>
                <c:pt idx="7">
                  <c:v>2.5364616360166528E-3</c:v>
                </c:pt>
                <c:pt idx="8">
                  <c:v>-2.1137180300248928E-4</c:v>
                </c:pt>
                <c:pt idx="9">
                  <c:v>-1.4796026210114163E-3</c:v>
                </c:pt>
              </c:numCache>
            </c:numRef>
          </c:yVal>
          <c:smooth val="1"/>
          <c:extLst>
            <c:ext xmlns:c16="http://schemas.microsoft.com/office/drawing/2014/chart" uri="{C3380CC4-5D6E-409C-BE32-E72D297353CC}">
              <c16:uniqueId val="{00000003-AC0C-414A-906F-145D44AB62DF}"/>
            </c:ext>
          </c:extLst>
        </c:ser>
        <c:ser>
          <c:idx val="4"/>
          <c:order val="4"/>
          <c:tx>
            <c:v>Waterline</c:v>
          </c:tx>
          <c:spPr>
            <a:ln w="19050" cap="rnd">
              <a:solidFill>
                <a:schemeClr val="accent5"/>
              </a:solidFill>
              <a:round/>
            </a:ln>
            <a:effectLst/>
          </c:spPr>
          <c:marker>
            <c:symbol val="circle"/>
            <c:size val="5"/>
            <c:spPr>
              <a:solidFill>
                <a:schemeClr val="accent5"/>
              </a:solidFill>
              <a:ln w="9525">
                <a:solidFill>
                  <a:schemeClr val="accent5"/>
                </a:solidFill>
              </a:ln>
              <a:effectLst/>
            </c:spPr>
          </c:marker>
          <c:xVal>
            <c:numRef>
              <c:f>Calculations!$AJ$2:$AS$2</c:f>
              <c:numCache>
                <c:formatCode>General</c:formatCode>
                <c:ptCount val="10"/>
                <c:pt idx="0">
                  <c:v>3.15</c:v>
                </c:pt>
                <c:pt idx="1">
                  <c:v>2</c:v>
                </c:pt>
                <c:pt idx="2">
                  <c:v>1</c:v>
                </c:pt>
                <c:pt idx="3">
                  <c:v>0.5</c:v>
                </c:pt>
                <c:pt idx="4">
                  <c:v>0.25</c:v>
                </c:pt>
                <c:pt idx="5">
                  <c:v>0.18</c:v>
                </c:pt>
                <c:pt idx="6">
                  <c:v>0.125</c:v>
                </c:pt>
                <c:pt idx="7">
                  <c:v>0.09</c:v>
                </c:pt>
                <c:pt idx="8">
                  <c:v>5.2999999999999999E-2</c:v>
                </c:pt>
                <c:pt idx="9">
                  <c:v>0.01</c:v>
                </c:pt>
              </c:numCache>
            </c:numRef>
          </c:xVal>
          <c:yVal>
            <c:numRef>
              <c:f>Calculations!$AJ$21:$AR$21</c:f>
              <c:numCache>
                <c:formatCode>0.00%</c:formatCode>
                <c:ptCount val="9"/>
                <c:pt idx="0">
                  <c:v>1</c:v>
                </c:pt>
                <c:pt idx="1">
                  <c:v>0.99620870193175703</c:v>
                </c:pt>
                <c:pt idx="2">
                  <c:v>0.98826502978877095</c:v>
                </c:pt>
                <c:pt idx="3">
                  <c:v>0.83444665102004023</c:v>
                </c:pt>
                <c:pt idx="4">
                  <c:v>0.47680086658241561</c:v>
                </c:pt>
                <c:pt idx="5">
                  <c:v>0.13775049647950799</c:v>
                </c:pt>
                <c:pt idx="6">
                  <c:v>4.3509658783172311E-2</c:v>
                </c:pt>
                <c:pt idx="7">
                  <c:v>5.2356020942401875E-3</c:v>
                </c:pt>
                <c:pt idx="8">
                  <c:v>-1.0260889360402814E-15</c:v>
                </c:pt>
              </c:numCache>
            </c:numRef>
          </c:yVal>
          <c:smooth val="1"/>
          <c:extLst>
            <c:ext xmlns:c16="http://schemas.microsoft.com/office/drawing/2014/chart" uri="{C3380CC4-5D6E-409C-BE32-E72D297353CC}">
              <c16:uniqueId val="{00000004-AC0C-414A-906F-145D44AB62DF}"/>
            </c:ext>
          </c:extLst>
        </c:ser>
        <c:dLbls>
          <c:showLegendKey val="0"/>
          <c:showVal val="0"/>
          <c:showCatName val="0"/>
          <c:showSerName val="0"/>
          <c:showPercent val="0"/>
          <c:showBubbleSize val="0"/>
        </c:dLbls>
        <c:axId val="367907544"/>
        <c:axId val="367907872"/>
      </c:scatterChart>
      <c:valAx>
        <c:axId val="367907544"/>
        <c:scaling>
          <c:logBase val="10"/>
          <c:orientation val="minMax"/>
          <c:max val="4"/>
          <c:min val="5.000000000000001E-2"/>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sz="1000" b="0" i="0" baseline="0">
                    <a:effectLst/>
                  </a:rPr>
                  <a:t>Sieve diameter (mm)</a:t>
                </a:r>
                <a:endParaRPr lang="nl-NL" sz="1000">
                  <a:effectLst/>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nl-N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crossAx val="367907872"/>
        <c:crosses val="autoZero"/>
        <c:crossBetween val="midCat"/>
      </c:valAx>
      <c:valAx>
        <c:axId val="367907872"/>
        <c:scaling>
          <c:orientation val="minMax"/>
          <c:max val="1"/>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sz="1000" b="0" i="0" baseline="0">
                    <a:effectLst/>
                  </a:rPr>
                  <a:t>Cumulative mass percentage (%)</a:t>
                </a:r>
                <a:endParaRPr lang="nl-NL" sz="1000">
                  <a:effectLst/>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nl-NL"/>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crossAx val="367907544"/>
        <c:crossesAt val="1.0000000000000002E-2"/>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NL"/>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NL"/>
              <a:t>South</a:t>
            </a:r>
            <a:r>
              <a:rPr lang="nl-NL" baseline="0"/>
              <a:t> Beach: 6 &amp; 8</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NL"/>
        </a:p>
      </c:txPr>
    </c:title>
    <c:autoTitleDeleted val="0"/>
    <c:plotArea>
      <c:layout/>
      <c:scatterChart>
        <c:scatterStyle val="smoothMarker"/>
        <c:varyColors val="0"/>
        <c:ser>
          <c:idx val="2"/>
          <c:order val="0"/>
          <c:tx>
            <c:v>8</c:v>
          </c:tx>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Calculations!$AJ$2:$AR$2</c:f>
              <c:numCache>
                <c:formatCode>General</c:formatCode>
                <c:ptCount val="9"/>
                <c:pt idx="0">
                  <c:v>3.15</c:v>
                </c:pt>
                <c:pt idx="1">
                  <c:v>2</c:v>
                </c:pt>
                <c:pt idx="2">
                  <c:v>1</c:v>
                </c:pt>
                <c:pt idx="3">
                  <c:v>0.5</c:v>
                </c:pt>
                <c:pt idx="4">
                  <c:v>0.25</c:v>
                </c:pt>
                <c:pt idx="5">
                  <c:v>0.18</c:v>
                </c:pt>
                <c:pt idx="6">
                  <c:v>0.125</c:v>
                </c:pt>
                <c:pt idx="7">
                  <c:v>0.09</c:v>
                </c:pt>
                <c:pt idx="8">
                  <c:v>5.2999999999999999E-2</c:v>
                </c:pt>
              </c:numCache>
            </c:numRef>
          </c:xVal>
          <c:yVal>
            <c:numRef>
              <c:f>Calculations!$AJ$10:$AR$10</c:f>
              <c:numCache>
                <c:formatCode>0.00%</c:formatCode>
                <c:ptCount val="9"/>
                <c:pt idx="0">
                  <c:v>1</c:v>
                </c:pt>
                <c:pt idx="1">
                  <c:v>0.98991080567334411</c:v>
                </c:pt>
                <c:pt idx="2">
                  <c:v>0.98143003363064807</c:v>
                </c:pt>
                <c:pt idx="3">
                  <c:v>0.97236438075742093</c:v>
                </c:pt>
                <c:pt idx="4">
                  <c:v>0.95247843251937425</c:v>
                </c:pt>
                <c:pt idx="5">
                  <c:v>0.89530633133499016</c:v>
                </c:pt>
                <c:pt idx="6">
                  <c:v>0.81766340108202917</c:v>
                </c:pt>
                <c:pt idx="7">
                  <c:v>0.61353999122678737</c:v>
                </c:pt>
                <c:pt idx="8">
                  <c:v>0.33250475215674746</c:v>
                </c:pt>
              </c:numCache>
            </c:numRef>
          </c:yVal>
          <c:smooth val="1"/>
          <c:extLst>
            <c:ext xmlns:c16="http://schemas.microsoft.com/office/drawing/2014/chart" uri="{C3380CC4-5D6E-409C-BE32-E72D297353CC}">
              <c16:uniqueId val="{00000000-8DFC-49E8-AF37-DF16913BD0F1}"/>
            </c:ext>
          </c:extLst>
        </c:ser>
        <c:ser>
          <c:idx val="3"/>
          <c:order val="1"/>
          <c:tx>
            <c:v>6</c:v>
          </c:tx>
          <c:spPr>
            <a:ln w="19050" cap="rnd">
              <a:solidFill>
                <a:schemeClr val="accent4"/>
              </a:solidFill>
              <a:round/>
            </a:ln>
            <a:effectLst/>
          </c:spPr>
          <c:marker>
            <c:symbol val="circle"/>
            <c:size val="5"/>
            <c:spPr>
              <a:solidFill>
                <a:schemeClr val="accent4"/>
              </a:solidFill>
              <a:ln w="9525">
                <a:solidFill>
                  <a:schemeClr val="accent4"/>
                </a:solidFill>
              </a:ln>
              <a:effectLst/>
            </c:spPr>
          </c:marker>
          <c:xVal>
            <c:numRef>
              <c:f>Calculations!$AJ$2:$AR$2</c:f>
              <c:numCache>
                <c:formatCode>General</c:formatCode>
                <c:ptCount val="9"/>
                <c:pt idx="0">
                  <c:v>3.15</c:v>
                </c:pt>
                <c:pt idx="1">
                  <c:v>2</c:v>
                </c:pt>
                <c:pt idx="2">
                  <c:v>1</c:v>
                </c:pt>
                <c:pt idx="3">
                  <c:v>0.5</c:v>
                </c:pt>
                <c:pt idx="4">
                  <c:v>0.25</c:v>
                </c:pt>
                <c:pt idx="5">
                  <c:v>0.18</c:v>
                </c:pt>
                <c:pt idx="6">
                  <c:v>0.125</c:v>
                </c:pt>
                <c:pt idx="7">
                  <c:v>0.09</c:v>
                </c:pt>
                <c:pt idx="8">
                  <c:v>5.2999999999999999E-2</c:v>
                </c:pt>
              </c:numCache>
            </c:numRef>
          </c:xVal>
          <c:yVal>
            <c:numRef>
              <c:f>Calculations!$AJ$9:$AR$9</c:f>
              <c:numCache>
                <c:formatCode>0.00%</c:formatCode>
                <c:ptCount val="9"/>
                <c:pt idx="0">
                  <c:v>1</c:v>
                </c:pt>
                <c:pt idx="1">
                  <c:v>0.99889763779527574</c:v>
                </c:pt>
                <c:pt idx="2">
                  <c:v>0.99811023622047246</c:v>
                </c:pt>
                <c:pt idx="3">
                  <c:v>0.96850393700787407</c:v>
                </c:pt>
                <c:pt idx="4">
                  <c:v>0.73165354330708632</c:v>
                </c:pt>
                <c:pt idx="5">
                  <c:v>0.20314960629921225</c:v>
                </c:pt>
                <c:pt idx="6">
                  <c:v>4.9763779527558553E-2</c:v>
                </c:pt>
                <c:pt idx="7">
                  <c:v>-7.8740157480332871E-4</c:v>
                </c:pt>
                <c:pt idx="8">
                  <c:v>-7.8740157480332871E-4</c:v>
                </c:pt>
              </c:numCache>
            </c:numRef>
          </c:yVal>
          <c:smooth val="1"/>
          <c:extLst>
            <c:ext xmlns:c16="http://schemas.microsoft.com/office/drawing/2014/chart" uri="{C3380CC4-5D6E-409C-BE32-E72D297353CC}">
              <c16:uniqueId val="{00000001-8DFC-49E8-AF37-DF16913BD0F1}"/>
            </c:ext>
          </c:extLst>
        </c:ser>
        <c:dLbls>
          <c:showLegendKey val="0"/>
          <c:showVal val="0"/>
          <c:showCatName val="0"/>
          <c:showSerName val="0"/>
          <c:showPercent val="0"/>
          <c:showBubbleSize val="0"/>
        </c:dLbls>
        <c:axId val="367907544"/>
        <c:axId val="367907872"/>
      </c:scatterChart>
      <c:valAx>
        <c:axId val="367907544"/>
        <c:scaling>
          <c:logBase val="10"/>
          <c:orientation val="minMax"/>
          <c:max val="4"/>
          <c:min val="5.000000000000001E-2"/>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a:t>Sieve</a:t>
                </a:r>
                <a:r>
                  <a:rPr lang="nl-NL" baseline="0"/>
                  <a:t> diameter (mm)</a:t>
                </a:r>
                <a:endParaRPr lang="nl-NL"/>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nl-N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crossAx val="367907872"/>
        <c:crossesAt val="0"/>
        <c:crossBetween val="midCat"/>
      </c:valAx>
      <c:valAx>
        <c:axId val="367907872"/>
        <c:scaling>
          <c:orientation val="minMax"/>
          <c:max val="1"/>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sz="1000" b="0" i="0" baseline="0">
                    <a:effectLst/>
                  </a:rPr>
                  <a:t>Cumulative mass percentage (%)</a:t>
                </a:r>
                <a:endParaRPr lang="nl-NL" sz="1000">
                  <a:effectLst/>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nl-NL"/>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crossAx val="367907544"/>
        <c:crossesAt val="1.0000000000000002E-2"/>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NL"/>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NL"/>
              <a:t>South Beach: 1 &amp; 2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NL"/>
        </a:p>
      </c:txPr>
    </c:title>
    <c:autoTitleDeleted val="0"/>
    <c:plotArea>
      <c:layout/>
      <c:scatterChart>
        <c:scatterStyle val="smoothMarker"/>
        <c:varyColors val="0"/>
        <c:ser>
          <c:idx val="2"/>
          <c:order val="0"/>
          <c:tx>
            <c:v>1</c:v>
          </c:tx>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Calculations!$AJ$2:$AS$2</c:f>
              <c:numCache>
                <c:formatCode>General</c:formatCode>
                <c:ptCount val="10"/>
                <c:pt idx="0">
                  <c:v>3.15</c:v>
                </c:pt>
                <c:pt idx="1">
                  <c:v>2</c:v>
                </c:pt>
                <c:pt idx="2">
                  <c:v>1</c:v>
                </c:pt>
                <c:pt idx="3">
                  <c:v>0.5</c:v>
                </c:pt>
                <c:pt idx="4">
                  <c:v>0.25</c:v>
                </c:pt>
                <c:pt idx="5">
                  <c:v>0.18</c:v>
                </c:pt>
                <c:pt idx="6">
                  <c:v>0.125</c:v>
                </c:pt>
                <c:pt idx="7">
                  <c:v>0.09</c:v>
                </c:pt>
                <c:pt idx="8">
                  <c:v>5.2999999999999999E-2</c:v>
                </c:pt>
                <c:pt idx="9">
                  <c:v>0.01</c:v>
                </c:pt>
              </c:numCache>
            </c:numRef>
          </c:xVal>
          <c:yVal>
            <c:numRef>
              <c:f>Calculations!$AJ$4:$AS$4</c:f>
              <c:numCache>
                <c:formatCode>0.00%</c:formatCode>
                <c:ptCount val="10"/>
                <c:pt idx="0">
                  <c:v>1.0006570302233906</c:v>
                </c:pt>
                <c:pt idx="1">
                  <c:v>0.99523653088042108</c:v>
                </c:pt>
                <c:pt idx="2">
                  <c:v>0.99096583442838448</c:v>
                </c:pt>
                <c:pt idx="3">
                  <c:v>0.88058475689881854</c:v>
                </c:pt>
                <c:pt idx="4">
                  <c:v>0.20860709592641299</c:v>
                </c:pt>
                <c:pt idx="5">
                  <c:v>4.1064388961887599E-3</c:v>
                </c:pt>
                <c:pt idx="6">
                  <c:v>1.6425755584751306E-3</c:v>
                </c:pt>
                <c:pt idx="7">
                  <c:v>6.5703022339061239E-4</c:v>
                </c:pt>
                <c:pt idx="8">
                  <c:v>0</c:v>
                </c:pt>
                <c:pt idx="9">
                  <c:v>0</c:v>
                </c:pt>
              </c:numCache>
            </c:numRef>
          </c:yVal>
          <c:smooth val="1"/>
          <c:extLst>
            <c:ext xmlns:c16="http://schemas.microsoft.com/office/drawing/2014/chart" uri="{C3380CC4-5D6E-409C-BE32-E72D297353CC}">
              <c16:uniqueId val="{00000000-F669-4EBE-B499-0DF151B36952}"/>
            </c:ext>
          </c:extLst>
        </c:ser>
        <c:ser>
          <c:idx val="3"/>
          <c:order val="1"/>
          <c:tx>
            <c:v>2</c:v>
          </c:tx>
          <c:spPr>
            <a:ln w="19050" cap="rnd">
              <a:solidFill>
                <a:schemeClr val="accent4"/>
              </a:solidFill>
              <a:round/>
            </a:ln>
            <a:effectLst/>
          </c:spPr>
          <c:marker>
            <c:symbol val="circle"/>
            <c:size val="5"/>
            <c:spPr>
              <a:solidFill>
                <a:schemeClr val="accent4"/>
              </a:solidFill>
              <a:ln w="9525">
                <a:solidFill>
                  <a:schemeClr val="accent4"/>
                </a:solidFill>
              </a:ln>
              <a:effectLst/>
            </c:spPr>
          </c:marker>
          <c:xVal>
            <c:numRef>
              <c:f>Calculations!$AJ$2:$AS$2</c:f>
              <c:numCache>
                <c:formatCode>General</c:formatCode>
                <c:ptCount val="10"/>
                <c:pt idx="0">
                  <c:v>3.15</c:v>
                </c:pt>
                <c:pt idx="1">
                  <c:v>2</c:v>
                </c:pt>
                <c:pt idx="2">
                  <c:v>1</c:v>
                </c:pt>
                <c:pt idx="3">
                  <c:v>0.5</c:v>
                </c:pt>
                <c:pt idx="4">
                  <c:v>0.25</c:v>
                </c:pt>
                <c:pt idx="5">
                  <c:v>0.18</c:v>
                </c:pt>
                <c:pt idx="6">
                  <c:v>0.125</c:v>
                </c:pt>
                <c:pt idx="7">
                  <c:v>0.09</c:v>
                </c:pt>
                <c:pt idx="8">
                  <c:v>5.2999999999999999E-2</c:v>
                </c:pt>
                <c:pt idx="9">
                  <c:v>0.01</c:v>
                </c:pt>
              </c:numCache>
            </c:numRef>
          </c:xVal>
          <c:yVal>
            <c:numRef>
              <c:f>Calculations!$AJ$5:$AS$5</c:f>
              <c:numCache>
                <c:formatCode>0.00%</c:formatCode>
                <c:ptCount val="10"/>
                <c:pt idx="0">
                  <c:v>1</c:v>
                </c:pt>
                <c:pt idx="1">
                  <c:v>0.97466695785105983</c:v>
                </c:pt>
                <c:pt idx="2">
                  <c:v>0.95566717623935415</c:v>
                </c:pt>
                <c:pt idx="3">
                  <c:v>0.8536798427604283</c:v>
                </c:pt>
                <c:pt idx="4">
                  <c:v>0.5110286088665652</c:v>
                </c:pt>
                <c:pt idx="5">
                  <c:v>0.15789473684210559</c:v>
                </c:pt>
                <c:pt idx="6">
                  <c:v>4.5424765232583167E-2</c:v>
                </c:pt>
                <c:pt idx="7">
                  <c:v>4.8045424765238518E-3</c:v>
                </c:pt>
                <c:pt idx="8">
                  <c:v>8.7355317755012987E-4</c:v>
                </c:pt>
                <c:pt idx="9">
                  <c:v>0</c:v>
                </c:pt>
              </c:numCache>
            </c:numRef>
          </c:yVal>
          <c:smooth val="1"/>
          <c:extLst>
            <c:ext xmlns:c16="http://schemas.microsoft.com/office/drawing/2014/chart" uri="{C3380CC4-5D6E-409C-BE32-E72D297353CC}">
              <c16:uniqueId val="{00000001-F669-4EBE-B499-0DF151B36952}"/>
            </c:ext>
          </c:extLst>
        </c:ser>
        <c:dLbls>
          <c:showLegendKey val="0"/>
          <c:showVal val="0"/>
          <c:showCatName val="0"/>
          <c:showSerName val="0"/>
          <c:showPercent val="0"/>
          <c:showBubbleSize val="0"/>
        </c:dLbls>
        <c:axId val="367907544"/>
        <c:axId val="367907872"/>
      </c:scatterChart>
      <c:valAx>
        <c:axId val="367907544"/>
        <c:scaling>
          <c:logBase val="10"/>
          <c:orientation val="minMax"/>
          <c:max val="4"/>
          <c:min val="5.000000000000001E-2"/>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sz="1000" b="0" i="0" baseline="0">
                    <a:effectLst/>
                  </a:rPr>
                  <a:t>Sieve diameter (mm)</a:t>
                </a:r>
                <a:endParaRPr lang="nl-NL" sz="1000">
                  <a:effectLst/>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nl-N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crossAx val="367907872"/>
        <c:crosses val="autoZero"/>
        <c:crossBetween val="midCat"/>
      </c:valAx>
      <c:valAx>
        <c:axId val="367907872"/>
        <c:scaling>
          <c:orientation val="minMax"/>
          <c:max val="1"/>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sz="1000" b="0" i="0" baseline="0">
                    <a:effectLst/>
                  </a:rPr>
                  <a:t>Cumulative mass percentage (%)</a:t>
                </a:r>
                <a:endParaRPr lang="nl-NL" sz="1000">
                  <a:effectLst/>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nl-NL"/>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crossAx val="367907544"/>
        <c:crossesAt val="1.0000000000000002E-2"/>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NL"/>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NL"/>
              <a:t>Quarry 2</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NL"/>
        </a:p>
      </c:txPr>
    </c:title>
    <c:autoTitleDeleted val="0"/>
    <c:plotArea>
      <c:layout/>
      <c:scatterChart>
        <c:scatterStyle val="smoothMarker"/>
        <c:varyColors val="0"/>
        <c:ser>
          <c:idx val="3"/>
          <c:order val="0"/>
          <c:tx>
            <c:v>Quarry</c:v>
          </c:tx>
          <c:spPr>
            <a:ln w="19050" cap="rnd">
              <a:solidFill>
                <a:schemeClr val="accent4"/>
              </a:solidFill>
              <a:round/>
            </a:ln>
            <a:effectLst/>
          </c:spPr>
          <c:marker>
            <c:symbol val="circle"/>
            <c:size val="5"/>
            <c:spPr>
              <a:solidFill>
                <a:schemeClr val="accent4"/>
              </a:solidFill>
              <a:ln w="9525">
                <a:solidFill>
                  <a:schemeClr val="accent4"/>
                </a:solidFill>
              </a:ln>
              <a:effectLst/>
            </c:spPr>
          </c:marker>
          <c:xVal>
            <c:numRef>
              <c:f>Calculations!$AJ$2:$AS$2</c:f>
              <c:numCache>
                <c:formatCode>General</c:formatCode>
                <c:ptCount val="10"/>
                <c:pt idx="0">
                  <c:v>3.15</c:v>
                </c:pt>
                <c:pt idx="1">
                  <c:v>2</c:v>
                </c:pt>
                <c:pt idx="2">
                  <c:v>1</c:v>
                </c:pt>
                <c:pt idx="3">
                  <c:v>0.5</c:v>
                </c:pt>
                <c:pt idx="4">
                  <c:v>0.25</c:v>
                </c:pt>
                <c:pt idx="5">
                  <c:v>0.18</c:v>
                </c:pt>
                <c:pt idx="6">
                  <c:v>0.125</c:v>
                </c:pt>
                <c:pt idx="7">
                  <c:v>0.09</c:v>
                </c:pt>
                <c:pt idx="8">
                  <c:v>5.2999999999999999E-2</c:v>
                </c:pt>
                <c:pt idx="9">
                  <c:v>0.01</c:v>
                </c:pt>
              </c:numCache>
            </c:numRef>
          </c:xVal>
          <c:yVal>
            <c:numRef>
              <c:f>Calculations!$AJ$26:$AS$26</c:f>
              <c:numCache>
                <c:formatCode>0.00%</c:formatCode>
                <c:ptCount val="10"/>
                <c:pt idx="0">
                  <c:v>1</c:v>
                </c:pt>
                <c:pt idx="1">
                  <c:v>0.8291049320073075</c:v>
                </c:pt>
                <c:pt idx="2">
                  <c:v>0.59813273797442745</c:v>
                </c:pt>
                <c:pt idx="3">
                  <c:v>0.40592652729856027</c:v>
                </c:pt>
                <c:pt idx="4">
                  <c:v>0.26669372843515421</c:v>
                </c:pt>
                <c:pt idx="5">
                  <c:v>0.17454840673838087</c:v>
                </c:pt>
                <c:pt idx="6">
                  <c:v>0.13070834179013599</c:v>
                </c:pt>
                <c:pt idx="7">
                  <c:v>7.2051958595494472E-2</c:v>
                </c:pt>
                <c:pt idx="8">
                  <c:v>3.1256342601989465E-2</c:v>
                </c:pt>
                <c:pt idx="9">
                  <c:v>5.074081591231989E-3</c:v>
                </c:pt>
              </c:numCache>
            </c:numRef>
          </c:yVal>
          <c:smooth val="1"/>
          <c:extLst>
            <c:ext xmlns:c16="http://schemas.microsoft.com/office/drawing/2014/chart" uri="{C3380CC4-5D6E-409C-BE32-E72D297353CC}">
              <c16:uniqueId val="{00000000-4FE2-4017-8B5D-9DAA254A5C9B}"/>
            </c:ext>
          </c:extLst>
        </c:ser>
        <c:dLbls>
          <c:showLegendKey val="0"/>
          <c:showVal val="0"/>
          <c:showCatName val="0"/>
          <c:showSerName val="0"/>
          <c:showPercent val="0"/>
          <c:showBubbleSize val="0"/>
        </c:dLbls>
        <c:axId val="367907544"/>
        <c:axId val="367907872"/>
      </c:scatterChart>
      <c:valAx>
        <c:axId val="367907544"/>
        <c:scaling>
          <c:logBase val="10"/>
          <c:orientation val="minMax"/>
          <c:max val="4"/>
          <c:min val="5.000000000000001E-2"/>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r>
                  <a:rPr lang="nl-NL" sz="1000" b="0" i="0" baseline="0">
                    <a:effectLst/>
                  </a:rPr>
                  <a:t>Sieve diameter (mm)</a:t>
                </a:r>
                <a:endParaRPr lang="nl-NL" sz="1000">
                  <a:effectLst/>
                </a:endParaRPr>
              </a:p>
            </c:rich>
          </c:tx>
          <c:overlay val="0"/>
          <c:spPr>
            <a:noFill/>
            <a:ln>
              <a:noFill/>
            </a:ln>
            <a:effectLst/>
          </c:spPr>
          <c:txPr>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endParaRPr lang="nl-N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crossAx val="367907872"/>
        <c:crosses val="autoZero"/>
        <c:crossBetween val="midCat"/>
      </c:valAx>
      <c:valAx>
        <c:axId val="367907872"/>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sz="1000" b="0" i="0" baseline="0">
                    <a:effectLst/>
                  </a:rPr>
                  <a:t>Cumulative mass percentage (%)</a:t>
                </a:r>
                <a:endParaRPr lang="nl-NL" sz="1000">
                  <a:effectLst/>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nl-NL"/>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crossAx val="367907544"/>
        <c:crossesAt val="1.0000000000000002E-2"/>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NL"/>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NL"/>
              <a:t>Marina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nl-NL"/>
        </a:p>
      </c:txPr>
    </c:title>
    <c:autoTitleDeleted val="0"/>
    <c:plotArea>
      <c:layout/>
      <c:scatterChart>
        <c:scatterStyle val="smoothMarker"/>
        <c:varyColors val="0"/>
        <c:ser>
          <c:idx val="3"/>
          <c:order val="0"/>
          <c:tx>
            <c:v>Marina</c:v>
          </c:tx>
          <c:spPr>
            <a:ln w="19050" cap="rnd">
              <a:solidFill>
                <a:schemeClr val="accent4"/>
              </a:solidFill>
              <a:round/>
            </a:ln>
            <a:effectLst/>
          </c:spPr>
          <c:marker>
            <c:symbol val="circle"/>
            <c:size val="5"/>
            <c:spPr>
              <a:solidFill>
                <a:schemeClr val="accent4"/>
              </a:solidFill>
              <a:ln w="9525">
                <a:solidFill>
                  <a:schemeClr val="accent4"/>
                </a:solidFill>
              </a:ln>
              <a:effectLst/>
            </c:spPr>
          </c:marker>
          <c:xVal>
            <c:numRef>
              <c:f>Calculations!$AJ$2:$AS$2</c:f>
              <c:numCache>
                <c:formatCode>General</c:formatCode>
                <c:ptCount val="10"/>
                <c:pt idx="0">
                  <c:v>3.15</c:v>
                </c:pt>
                <c:pt idx="1">
                  <c:v>2</c:v>
                </c:pt>
                <c:pt idx="2">
                  <c:v>1</c:v>
                </c:pt>
                <c:pt idx="3">
                  <c:v>0.5</c:v>
                </c:pt>
                <c:pt idx="4">
                  <c:v>0.25</c:v>
                </c:pt>
                <c:pt idx="5">
                  <c:v>0.18</c:v>
                </c:pt>
                <c:pt idx="6">
                  <c:v>0.125</c:v>
                </c:pt>
                <c:pt idx="7">
                  <c:v>0.09</c:v>
                </c:pt>
                <c:pt idx="8">
                  <c:v>5.2999999999999999E-2</c:v>
                </c:pt>
                <c:pt idx="9">
                  <c:v>0.01</c:v>
                </c:pt>
              </c:numCache>
            </c:numRef>
          </c:xVal>
          <c:yVal>
            <c:numRef>
              <c:f>Calculations!$AJ$28:$AS$28</c:f>
              <c:numCache>
                <c:formatCode>0.00%</c:formatCode>
                <c:ptCount val="10"/>
                <c:pt idx="0">
                  <c:v>1</c:v>
                </c:pt>
                <c:pt idx="1">
                  <c:v>0.93246311010215677</c:v>
                </c:pt>
                <c:pt idx="2">
                  <c:v>0.92073401437760127</c:v>
                </c:pt>
                <c:pt idx="3">
                  <c:v>0.82595535376466167</c:v>
                </c:pt>
                <c:pt idx="4">
                  <c:v>0.51248581157775308</c:v>
                </c:pt>
                <c:pt idx="5">
                  <c:v>0.22115020809685954</c:v>
                </c:pt>
                <c:pt idx="6">
                  <c:v>0.1305334846765035</c:v>
                </c:pt>
                <c:pt idx="7">
                  <c:v>6.2996594778660292E-2</c:v>
                </c:pt>
                <c:pt idx="8">
                  <c:v>2.0431328036322055E-2</c:v>
                </c:pt>
                <c:pt idx="9">
                  <c:v>2.8376844494887861E-3</c:v>
                </c:pt>
              </c:numCache>
            </c:numRef>
          </c:yVal>
          <c:smooth val="1"/>
          <c:extLst>
            <c:ext xmlns:c16="http://schemas.microsoft.com/office/drawing/2014/chart" uri="{C3380CC4-5D6E-409C-BE32-E72D297353CC}">
              <c16:uniqueId val="{00000000-90F3-43CC-9F5F-10C639C9A7D3}"/>
            </c:ext>
          </c:extLst>
        </c:ser>
        <c:dLbls>
          <c:showLegendKey val="0"/>
          <c:showVal val="0"/>
          <c:showCatName val="0"/>
          <c:showSerName val="0"/>
          <c:showPercent val="0"/>
          <c:showBubbleSize val="0"/>
        </c:dLbls>
        <c:axId val="367907544"/>
        <c:axId val="367907872"/>
      </c:scatterChart>
      <c:valAx>
        <c:axId val="367907544"/>
        <c:scaling>
          <c:logBase val="10"/>
          <c:orientation val="minMax"/>
          <c:max val="4"/>
          <c:min val="5.000000000000001E-2"/>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r>
                  <a:rPr lang="nl-NL" sz="1000" b="0" i="0" baseline="0">
                    <a:effectLst/>
                  </a:rPr>
                  <a:t>Sieve diameter (mm)</a:t>
                </a:r>
                <a:endParaRPr lang="nl-NL" sz="1000">
                  <a:effectLst/>
                </a:endParaRPr>
              </a:p>
            </c:rich>
          </c:tx>
          <c:overlay val="0"/>
          <c:spPr>
            <a:noFill/>
            <a:ln>
              <a:noFill/>
            </a:ln>
            <a:effectLst/>
          </c:spPr>
          <c:txPr>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endParaRPr lang="nl-N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crossAx val="367907872"/>
        <c:crosses val="autoZero"/>
        <c:crossBetween val="midCat"/>
      </c:valAx>
      <c:valAx>
        <c:axId val="367907872"/>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sz="1000" b="0" i="0" baseline="0">
                    <a:effectLst/>
                  </a:rPr>
                  <a:t>Cumulative mass percentage (%)</a:t>
                </a:r>
                <a:endParaRPr lang="nl-NL" sz="1000">
                  <a:effectLst/>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nl-NL"/>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nl-NL"/>
          </a:p>
        </c:txPr>
        <c:crossAx val="367907544"/>
        <c:crossesAt val="1.0000000000000002E-2"/>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nl-NL"/>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68</TotalTime>
  <Pages>4</Pages>
  <Words>274</Words>
  <Characters>1513</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Inez van Tilburg</dc:creator>
  <cp:keywords/>
  <dc:description/>
  <cp:lastModifiedBy>Inez van Tilburg</cp:lastModifiedBy>
  <cp:revision>5</cp:revision>
  <dcterms:created xsi:type="dcterms:W3CDTF">2016-10-13T14:24:00Z</dcterms:created>
  <dcterms:modified xsi:type="dcterms:W3CDTF">2016-10-21T14:11:00Z</dcterms:modified>
</cp:coreProperties>
</file>