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186" w:rsidRPr="00F71186" w:rsidRDefault="00F71186" w:rsidP="00F71186">
      <w:pPr>
        <w:spacing w:line="480" w:lineRule="auto"/>
        <w:rPr>
          <w:lang w:val="en-US"/>
        </w:rPr>
      </w:pPr>
      <w:r w:rsidRPr="00F71186">
        <w:rPr>
          <w:b/>
          <w:lang w:val="en-US"/>
        </w:rPr>
        <w:t>Supplementary Table 1 – Comparison between the clinical characteristics of participants and non-participants at the time of the first follow-up study visit after 2.6 years from baseline</w:t>
      </w:r>
    </w:p>
    <w:p w:rsidR="00F71186" w:rsidRPr="00F71186" w:rsidRDefault="00F71186" w:rsidP="00F71186">
      <w:pPr>
        <w:spacing w:line="480" w:lineRule="auto"/>
        <w:rPr>
          <w:lang w:val="en-US"/>
        </w:rPr>
      </w:pPr>
      <w:r w:rsidRPr="00F71186">
        <w:rPr>
          <w:lang w:val="en-US"/>
        </w:rPr>
        <w:t>Values are reported as N (%), or median (interquartile range, IQR).</w:t>
      </w:r>
      <w:bookmarkStart w:id="0" w:name="_GoBack"/>
      <w:bookmarkEnd w:id="0"/>
    </w:p>
    <w:tbl>
      <w:tblPr>
        <w:tblStyle w:val="ListTable1Light"/>
        <w:tblW w:w="9235" w:type="dxa"/>
        <w:tblLayout w:type="fixed"/>
        <w:tblLook w:val="06A0" w:firstRow="1" w:lastRow="0" w:firstColumn="1" w:lastColumn="0" w:noHBand="1" w:noVBand="1"/>
      </w:tblPr>
      <w:tblGrid>
        <w:gridCol w:w="3324"/>
        <w:gridCol w:w="1208"/>
        <w:gridCol w:w="1813"/>
        <w:gridCol w:w="1856"/>
        <w:gridCol w:w="1034"/>
      </w:tblGrid>
      <w:tr w:rsidR="00F71186" w:rsidRPr="00F71186" w:rsidTr="00F74B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  <w:tcBorders>
              <w:top w:val="single" w:sz="8" w:space="0" w:color="auto"/>
              <w:bottom w:val="single" w:sz="8" w:space="0" w:color="auto"/>
            </w:tcBorders>
          </w:tcPr>
          <w:p w:rsidR="00F71186" w:rsidRPr="00F71186" w:rsidRDefault="00F71186" w:rsidP="00F74BEB">
            <w:pPr>
              <w:rPr>
                <w:b w:val="0"/>
                <w:lang w:val="en-US"/>
              </w:rPr>
            </w:pPr>
            <w:r w:rsidRPr="00F71186">
              <w:rPr>
                <w:lang w:val="en-US"/>
              </w:rPr>
              <w:t>Clinical characteristics</w:t>
            </w:r>
          </w:p>
        </w:tc>
        <w:tc>
          <w:tcPr>
            <w:tcW w:w="1208" w:type="dxa"/>
            <w:tcBorders>
              <w:top w:val="single" w:sz="8" w:space="0" w:color="auto"/>
              <w:bottom w:val="single" w:sz="8" w:space="0" w:color="auto"/>
            </w:tcBorders>
          </w:tcPr>
          <w:p w:rsidR="00F71186" w:rsidRPr="00F71186" w:rsidRDefault="00F71186" w:rsidP="00F74B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US"/>
              </w:rPr>
            </w:pPr>
          </w:p>
        </w:tc>
        <w:tc>
          <w:tcPr>
            <w:tcW w:w="1813" w:type="dxa"/>
            <w:tcBorders>
              <w:top w:val="single" w:sz="8" w:space="0" w:color="auto"/>
              <w:bottom w:val="single" w:sz="8" w:space="0" w:color="auto"/>
            </w:tcBorders>
          </w:tcPr>
          <w:p w:rsidR="00F71186" w:rsidRPr="00F71186" w:rsidRDefault="00F71186" w:rsidP="00F74B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US"/>
              </w:rPr>
            </w:pPr>
            <w:r w:rsidRPr="00F71186">
              <w:rPr>
                <w:lang w:val="en-US"/>
              </w:rPr>
              <w:t>Participants</w:t>
            </w:r>
          </w:p>
          <w:p w:rsidR="00F71186" w:rsidRPr="00F71186" w:rsidRDefault="00F71186" w:rsidP="00F74B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US"/>
              </w:rPr>
            </w:pPr>
            <w:r w:rsidRPr="00F71186">
              <w:rPr>
                <w:lang w:val="en-US"/>
              </w:rPr>
              <w:t>N=31</w:t>
            </w:r>
          </w:p>
        </w:tc>
        <w:tc>
          <w:tcPr>
            <w:tcW w:w="1856" w:type="dxa"/>
            <w:tcBorders>
              <w:top w:val="single" w:sz="8" w:space="0" w:color="auto"/>
              <w:bottom w:val="single" w:sz="8" w:space="0" w:color="auto"/>
            </w:tcBorders>
          </w:tcPr>
          <w:p w:rsidR="00F71186" w:rsidRPr="00F71186" w:rsidRDefault="00F71186" w:rsidP="00F74B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US"/>
              </w:rPr>
            </w:pPr>
            <w:r w:rsidRPr="00F71186">
              <w:rPr>
                <w:lang w:val="en-US"/>
              </w:rPr>
              <w:t>Non-participants</w:t>
            </w:r>
          </w:p>
          <w:p w:rsidR="00F71186" w:rsidRPr="00F71186" w:rsidRDefault="00F71186" w:rsidP="00F74B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US"/>
              </w:rPr>
            </w:pPr>
            <w:r w:rsidRPr="00F71186">
              <w:rPr>
                <w:lang w:val="en-US"/>
              </w:rPr>
              <w:t>N=27</w:t>
            </w:r>
          </w:p>
        </w:tc>
        <w:tc>
          <w:tcPr>
            <w:tcW w:w="1034" w:type="dxa"/>
            <w:tcBorders>
              <w:top w:val="single" w:sz="8" w:space="0" w:color="auto"/>
              <w:bottom w:val="single" w:sz="8" w:space="0" w:color="auto"/>
            </w:tcBorders>
          </w:tcPr>
          <w:p w:rsidR="00F71186" w:rsidRPr="00F71186" w:rsidRDefault="00F71186" w:rsidP="00F74B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US"/>
              </w:rPr>
            </w:pPr>
            <w:r w:rsidRPr="00F71186">
              <w:rPr>
                <w:i/>
                <w:iCs/>
                <w:lang w:val="en-US"/>
              </w:rPr>
              <w:t>P</w:t>
            </w:r>
            <w:r w:rsidRPr="00F71186">
              <w:rPr>
                <w:lang w:val="en-US"/>
              </w:rPr>
              <w:t>-value</w:t>
            </w:r>
          </w:p>
        </w:tc>
      </w:tr>
      <w:tr w:rsidR="00F71186" w:rsidRPr="00F71186" w:rsidTr="00F74BE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  <w:tcBorders>
              <w:top w:val="single" w:sz="8" w:space="0" w:color="auto"/>
            </w:tcBorders>
          </w:tcPr>
          <w:p w:rsidR="00F71186" w:rsidRPr="00F71186" w:rsidRDefault="00F71186" w:rsidP="00F74BEB">
            <w:pPr>
              <w:rPr>
                <w:b w:val="0"/>
                <w:i/>
                <w:lang w:val="en-US"/>
              </w:rPr>
            </w:pPr>
            <w:r w:rsidRPr="00F71186">
              <w:rPr>
                <w:i/>
                <w:lang w:val="en-US"/>
              </w:rPr>
              <w:t>Demographic characteristics</w:t>
            </w:r>
          </w:p>
        </w:tc>
        <w:tc>
          <w:tcPr>
            <w:tcW w:w="1208" w:type="dxa"/>
            <w:tcBorders>
              <w:top w:val="single" w:sz="8" w:space="0" w:color="auto"/>
            </w:tcBorders>
          </w:tcPr>
          <w:p w:rsidR="00F71186" w:rsidRPr="00F71186" w:rsidRDefault="00F71186" w:rsidP="00F74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13" w:type="dxa"/>
            <w:tcBorders>
              <w:top w:val="single" w:sz="8" w:space="0" w:color="auto"/>
            </w:tcBorders>
          </w:tcPr>
          <w:p w:rsidR="00F71186" w:rsidRPr="00F71186" w:rsidRDefault="00F71186" w:rsidP="00F74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56" w:type="dxa"/>
            <w:tcBorders>
              <w:top w:val="single" w:sz="8" w:space="0" w:color="auto"/>
            </w:tcBorders>
          </w:tcPr>
          <w:p w:rsidR="00F71186" w:rsidRPr="00F71186" w:rsidRDefault="00F71186" w:rsidP="00F74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34" w:type="dxa"/>
            <w:tcBorders>
              <w:top w:val="single" w:sz="8" w:space="0" w:color="auto"/>
            </w:tcBorders>
          </w:tcPr>
          <w:p w:rsidR="00F71186" w:rsidRPr="00F71186" w:rsidRDefault="00F71186" w:rsidP="00F74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F71186" w:rsidRPr="00F71186" w:rsidTr="00F74BE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:rsidR="00F71186" w:rsidRPr="00F71186" w:rsidRDefault="00F71186" w:rsidP="00F74BEB">
            <w:pPr>
              <w:rPr>
                <w:b w:val="0"/>
                <w:lang w:val="en-US"/>
              </w:rPr>
            </w:pPr>
            <w:r w:rsidRPr="00F71186">
              <w:rPr>
                <w:lang w:val="en-US"/>
              </w:rPr>
              <w:t>Sex (female)</w:t>
            </w:r>
          </w:p>
        </w:tc>
        <w:tc>
          <w:tcPr>
            <w:tcW w:w="1208" w:type="dxa"/>
          </w:tcPr>
          <w:p w:rsidR="00F71186" w:rsidRPr="00F71186" w:rsidRDefault="00F71186" w:rsidP="00F74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13" w:type="dxa"/>
          </w:tcPr>
          <w:p w:rsidR="00F71186" w:rsidRPr="00F71186" w:rsidRDefault="00F71186" w:rsidP="00F74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15</w:t>
            </w:r>
          </w:p>
        </w:tc>
        <w:tc>
          <w:tcPr>
            <w:tcW w:w="1856" w:type="dxa"/>
          </w:tcPr>
          <w:p w:rsidR="00F71186" w:rsidRPr="00F71186" w:rsidRDefault="00F71186" w:rsidP="00F74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9</w:t>
            </w:r>
          </w:p>
        </w:tc>
        <w:tc>
          <w:tcPr>
            <w:tcW w:w="1034" w:type="dxa"/>
          </w:tcPr>
          <w:p w:rsidR="00F71186" w:rsidRPr="00F71186" w:rsidRDefault="00F71186" w:rsidP="00F74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0.293</w:t>
            </w:r>
          </w:p>
        </w:tc>
      </w:tr>
      <w:tr w:rsidR="00F71186" w:rsidRPr="00F71186" w:rsidTr="00F74BE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:rsidR="00F71186" w:rsidRPr="00F71186" w:rsidRDefault="00F71186" w:rsidP="00F74BEB">
            <w:pPr>
              <w:rPr>
                <w:b w:val="0"/>
                <w:lang w:val="en-US"/>
              </w:rPr>
            </w:pPr>
            <w:r w:rsidRPr="00F71186">
              <w:rPr>
                <w:lang w:val="en-US"/>
              </w:rPr>
              <w:t>Age (years)</w:t>
            </w:r>
          </w:p>
        </w:tc>
        <w:tc>
          <w:tcPr>
            <w:tcW w:w="1208" w:type="dxa"/>
          </w:tcPr>
          <w:p w:rsidR="00F71186" w:rsidRPr="00F71186" w:rsidRDefault="00F71186" w:rsidP="00F74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13" w:type="dxa"/>
          </w:tcPr>
          <w:p w:rsidR="00F71186" w:rsidRPr="00F71186" w:rsidRDefault="00F71186" w:rsidP="00F74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63 (56 – 69)</w:t>
            </w:r>
          </w:p>
        </w:tc>
        <w:tc>
          <w:tcPr>
            <w:tcW w:w="1856" w:type="dxa"/>
          </w:tcPr>
          <w:p w:rsidR="00F71186" w:rsidRPr="00F71186" w:rsidRDefault="00F71186" w:rsidP="00F74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65 (53 – 70)</w:t>
            </w:r>
          </w:p>
        </w:tc>
        <w:tc>
          <w:tcPr>
            <w:tcW w:w="1034" w:type="dxa"/>
          </w:tcPr>
          <w:p w:rsidR="00F71186" w:rsidRPr="00F71186" w:rsidRDefault="00F71186" w:rsidP="00F74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0.285</w:t>
            </w:r>
          </w:p>
        </w:tc>
      </w:tr>
      <w:tr w:rsidR="00F71186" w:rsidRPr="00F71186" w:rsidTr="00F74BEB">
        <w:trPr>
          <w:trHeight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:rsidR="00F71186" w:rsidRPr="00F71186" w:rsidRDefault="00F71186" w:rsidP="00F74BEB">
            <w:pPr>
              <w:rPr>
                <w:b w:val="0"/>
                <w:lang w:val="en-US"/>
              </w:rPr>
            </w:pPr>
            <w:r w:rsidRPr="00F71186">
              <w:rPr>
                <w:lang w:val="en-US"/>
              </w:rPr>
              <w:t>BMI (kg/m</w:t>
            </w:r>
            <w:r w:rsidRPr="00F71186">
              <w:rPr>
                <w:vertAlign w:val="superscript"/>
                <w:lang w:val="en-US"/>
              </w:rPr>
              <w:t>2</w:t>
            </w:r>
            <w:r w:rsidRPr="00F71186">
              <w:rPr>
                <w:lang w:val="en-US"/>
              </w:rPr>
              <w:t>)</w:t>
            </w:r>
          </w:p>
        </w:tc>
        <w:tc>
          <w:tcPr>
            <w:tcW w:w="1208" w:type="dxa"/>
          </w:tcPr>
          <w:p w:rsidR="00F71186" w:rsidRPr="00F71186" w:rsidRDefault="00F71186" w:rsidP="00F74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13" w:type="dxa"/>
          </w:tcPr>
          <w:p w:rsidR="00F71186" w:rsidRPr="00F71186" w:rsidRDefault="00F71186" w:rsidP="00F74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26.0 (24.5 – 31.4)</w:t>
            </w:r>
          </w:p>
        </w:tc>
        <w:tc>
          <w:tcPr>
            <w:tcW w:w="1856" w:type="dxa"/>
          </w:tcPr>
          <w:p w:rsidR="00F71186" w:rsidRPr="00F71186" w:rsidRDefault="00F71186" w:rsidP="00F74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30.6 (25.9 – 33.2)</w:t>
            </w:r>
          </w:p>
        </w:tc>
        <w:tc>
          <w:tcPr>
            <w:tcW w:w="1034" w:type="dxa"/>
          </w:tcPr>
          <w:p w:rsidR="00F71186" w:rsidRPr="00F71186" w:rsidRDefault="00F71186" w:rsidP="00F74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n-US"/>
              </w:rPr>
            </w:pPr>
            <w:r w:rsidRPr="00F71186">
              <w:rPr>
                <w:bCs/>
                <w:lang w:val="en-US"/>
              </w:rPr>
              <w:t>0.019</w:t>
            </w:r>
          </w:p>
        </w:tc>
      </w:tr>
      <w:tr w:rsidR="00F71186" w:rsidRPr="00F71186" w:rsidTr="00F74BE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:rsidR="00F71186" w:rsidRPr="00F71186" w:rsidRDefault="00F71186" w:rsidP="00F74BEB">
            <w:pPr>
              <w:rPr>
                <w:b w:val="0"/>
                <w:i/>
                <w:lang w:val="en-US"/>
              </w:rPr>
            </w:pPr>
            <w:r w:rsidRPr="00F71186">
              <w:rPr>
                <w:i/>
                <w:lang w:val="en-US"/>
              </w:rPr>
              <w:t>Acromegaly characteristics</w:t>
            </w:r>
          </w:p>
        </w:tc>
        <w:tc>
          <w:tcPr>
            <w:tcW w:w="1208" w:type="dxa"/>
          </w:tcPr>
          <w:p w:rsidR="00F71186" w:rsidRPr="00F71186" w:rsidRDefault="00F71186" w:rsidP="00F74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13" w:type="dxa"/>
          </w:tcPr>
          <w:p w:rsidR="00F71186" w:rsidRPr="00F71186" w:rsidRDefault="00F71186" w:rsidP="00F74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56" w:type="dxa"/>
          </w:tcPr>
          <w:p w:rsidR="00F71186" w:rsidRPr="00F71186" w:rsidRDefault="00F71186" w:rsidP="00F74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34" w:type="dxa"/>
          </w:tcPr>
          <w:p w:rsidR="00F71186" w:rsidRPr="00F71186" w:rsidRDefault="00F71186" w:rsidP="00F74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F71186" w:rsidRPr="00F71186" w:rsidTr="00F74BE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:rsidR="00F71186" w:rsidRPr="00F71186" w:rsidRDefault="00F71186" w:rsidP="00F74BEB">
            <w:pPr>
              <w:rPr>
                <w:b w:val="0"/>
                <w:lang w:val="en-US"/>
              </w:rPr>
            </w:pPr>
            <w:r w:rsidRPr="00F71186">
              <w:rPr>
                <w:lang w:val="en-US"/>
              </w:rPr>
              <w:t>Active disease duration (years)</w:t>
            </w:r>
          </w:p>
        </w:tc>
        <w:tc>
          <w:tcPr>
            <w:tcW w:w="1208" w:type="dxa"/>
          </w:tcPr>
          <w:p w:rsidR="00F71186" w:rsidRPr="00F71186" w:rsidRDefault="00F71186" w:rsidP="00F74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13" w:type="dxa"/>
          </w:tcPr>
          <w:p w:rsidR="00F71186" w:rsidRPr="00F71186" w:rsidRDefault="00F71186" w:rsidP="00F74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5 (3 – 10)</w:t>
            </w:r>
          </w:p>
        </w:tc>
        <w:tc>
          <w:tcPr>
            <w:tcW w:w="1856" w:type="dxa"/>
          </w:tcPr>
          <w:p w:rsidR="00F71186" w:rsidRPr="00F71186" w:rsidRDefault="00F71186" w:rsidP="00F74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7 (4 – 15)</w:t>
            </w:r>
          </w:p>
        </w:tc>
        <w:tc>
          <w:tcPr>
            <w:tcW w:w="1034" w:type="dxa"/>
          </w:tcPr>
          <w:p w:rsidR="00F71186" w:rsidRPr="00F71186" w:rsidRDefault="00F71186" w:rsidP="00F74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0.448</w:t>
            </w:r>
          </w:p>
        </w:tc>
      </w:tr>
      <w:tr w:rsidR="00F71186" w:rsidRPr="00F71186" w:rsidTr="00F74BE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:rsidR="00F71186" w:rsidRPr="00F71186" w:rsidRDefault="00F71186" w:rsidP="00F74BEB">
            <w:pPr>
              <w:rPr>
                <w:b w:val="0"/>
                <w:lang w:val="en-US"/>
              </w:rPr>
            </w:pPr>
            <w:r w:rsidRPr="00F71186">
              <w:rPr>
                <w:lang w:val="en-US"/>
              </w:rPr>
              <w:t>Remission duration (years)</w:t>
            </w:r>
          </w:p>
        </w:tc>
        <w:tc>
          <w:tcPr>
            <w:tcW w:w="1208" w:type="dxa"/>
          </w:tcPr>
          <w:p w:rsidR="00F71186" w:rsidRPr="00F71186" w:rsidRDefault="00F71186" w:rsidP="00F74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13" w:type="dxa"/>
          </w:tcPr>
          <w:p w:rsidR="00F71186" w:rsidRPr="00F71186" w:rsidRDefault="00F71186" w:rsidP="00F74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16 (13 – 20)</w:t>
            </w:r>
          </w:p>
        </w:tc>
        <w:tc>
          <w:tcPr>
            <w:tcW w:w="1856" w:type="dxa"/>
          </w:tcPr>
          <w:p w:rsidR="00F71186" w:rsidRPr="00F71186" w:rsidRDefault="00F71186" w:rsidP="00F74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17 (12 – 25)</w:t>
            </w:r>
          </w:p>
        </w:tc>
        <w:tc>
          <w:tcPr>
            <w:tcW w:w="1034" w:type="dxa"/>
          </w:tcPr>
          <w:p w:rsidR="00F71186" w:rsidRPr="00F71186" w:rsidRDefault="00F71186" w:rsidP="00F74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0.432</w:t>
            </w:r>
          </w:p>
        </w:tc>
      </w:tr>
      <w:tr w:rsidR="00F71186" w:rsidRPr="00F71186" w:rsidTr="00F74BE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:rsidR="00F71186" w:rsidRPr="00F71186" w:rsidRDefault="00F71186" w:rsidP="00F74BEB">
            <w:pPr>
              <w:rPr>
                <w:b w:val="0"/>
                <w:i/>
                <w:lang w:val="en-US"/>
              </w:rPr>
            </w:pPr>
            <w:r w:rsidRPr="00F71186">
              <w:rPr>
                <w:i/>
                <w:lang w:val="en-US"/>
              </w:rPr>
              <w:t>Joint symptoms</w:t>
            </w:r>
          </w:p>
        </w:tc>
        <w:tc>
          <w:tcPr>
            <w:tcW w:w="1208" w:type="dxa"/>
          </w:tcPr>
          <w:p w:rsidR="00F71186" w:rsidRPr="00F71186" w:rsidRDefault="00F71186" w:rsidP="00F74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13" w:type="dxa"/>
          </w:tcPr>
          <w:p w:rsidR="00F71186" w:rsidRPr="00F71186" w:rsidRDefault="00F71186" w:rsidP="00F74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856" w:type="dxa"/>
          </w:tcPr>
          <w:p w:rsidR="00F71186" w:rsidRPr="00F71186" w:rsidRDefault="00F71186" w:rsidP="00F74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34" w:type="dxa"/>
          </w:tcPr>
          <w:p w:rsidR="00F71186" w:rsidRPr="00F71186" w:rsidRDefault="00F71186" w:rsidP="00F74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F71186" w:rsidRPr="00F71186" w:rsidTr="00F74BEB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:rsidR="00F71186" w:rsidRPr="00F71186" w:rsidRDefault="00F71186" w:rsidP="00F74BEB">
            <w:pPr>
              <w:rPr>
                <w:b w:val="0"/>
                <w:lang w:val="en-US"/>
              </w:rPr>
            </w:pPr>
            <w:r w:rsidRPr="00F71186">
              <w:rPr>
                <w:lang w:val="en-US"/>
              </w:rPr>
              <w:t>AUSCAN</w:t>
            </w:r>
          </w:p>
        </w:tc>
        <w:tc>
          <w:tcPr>
            <w:tcW w:w="1208" w:type="dxa"/>
          </w:tcPr>
          <w:p w:rsidR="00F71186" w:rsidRPr="00F71186" w:rsidRDefault="00F71186" w:rsidP="00F74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Total</w:t>
            </w:r>
          </w:p>
        </w:tc>
        <w:tc>
          <w:tcPr>
            <w:tcW w:w="1813" w:type="dxa"/>
          </w:tcPr>
          <w:p w:rsidR="00F71186" w:rsidRPr="00F71186" w:rsidRDefault="00F71186" w:rsidP="00F74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7 (0 – 20)</w:t>
            </w:r>
          </w:p>
        </w:tc>
        <w:tc>
          <w:tcPr>
            <w:tcW w:w="1856" w:type="dxa"/>
          </w:tcPr>
          <w:p w:rsidR="00F71186" w:rsidRPr="00F71186" w:rsidRDefault="00F71186" w:rsidP="00F74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5 (0 – 11)</w:t>
            </w:r>
          </w:p>
        </w:tc>
        <w:tc>
          <w:tcPr>
            <w:tcW w:w="1034" w:type="dxa"/>
          </w:tcPr>
          <w:p w:rsidR="00F71186" w:rsidRPr="00F71186" w:rsidRDefault="00F71186" w:rsidP="00F74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0.333</w:t>
            </w:r>
          </w:p>
        </w:tc>
      </w:tr>
      <w:tr w:rsidR="00F71186" w:rsidRPr="00F71186" w:rsidTr="00F74BE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:rsidR="00F71186" w:rsidRPr="00F71186" w:rsidRDefault="00F71186" w:rsidP="00F74BEB">
            <w:pPr>
              <w:rPr>
                <w:b w:val="0"/>
                <w:lang w:val="en-US"/>
              </w:rPr>
            </w:pPr>
          </w:p>
        </w:tc>
        <w:tc>
          <w:tcPr>
            <w:tcW w:w="1208" w:type="dxa"/>
          </w:tcPr>
          <w:p w:rsidR="00F71186" w:rsidRPr="00F71186" w:rsidRDefault="00F71186" w:rsidP="00F74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Pain</w:t>
            </w:r>
          </w:p>
        </w:tc>
        <w:tc>
          <w:tcPr>
            <w:tcW w:w="1813" w:type="dxa"/>
          </w:tcPr>
          <w:p w:rsidR="00F71186" w:rsidRPr="00F71186" w:rsidRDefault="00F71186" w:rsidP="00F74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2 (0 – 7)</w:t>
            </w:r>
          </w:p>
        </w:tc>
        <w:tc>
          <w:tcPr>
            <w:tcW w:w="1856" w:type="dxa"/>
          </w:tcPr>
          <w:p w:rsidR="00F71186" w:rsidRPr="00F71186" w:rsidRDefault="00F71186" w:rsidP="00F74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0 (0 – 4)</w:t>
            </w:r>
          </w:p>
        </w:tc>
        <w:tc>
          <w:tcPr>
            <w:tcW w:w="1034" w:type="dxa"/>
          </w:tcPr>
          <w:p w:rsidR="00F71186" w:rsidRPr="00F71186" w:rsidRDefault="00F71186" w:rsidP="00F74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0.336</w:t>
            </w:r>
          </w:p>
        </w:tc>
      </w:tr>
      <w:tr w:rsidR="00F71186" w:rsidRPr="00F71186" w:rsidTr="00F74BE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:rsidR="00F71186" w:rsidRPr="00F71186" w:rsidRDefault="00F71186" w:rsidP="00F74BEB">
            <w:pPr>
              <w:rPr>
                <w:b w:val="0"/>
                <w:lang w:val="en-US"/>
              </w:rPr>
            </w:pPr>
          </w:p>
        </w:tc>
        <w:tc>
          <w:tcPr>
            <w:tcW w:w="1208" w:type="dxa"/>
          </w:tcPr>
          <w:p w:rsidR="00F71186" w:rsidRPr="00F71186" w:rsidRDefault="00F71186" w:rsidP="00F74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Stiffness</w:t>
            </w:r>
          </w:p>
        </w:tc>
        <w:tc>
          <w:tcPr>
            <w:tcW w:w="1813" w:type="dxa"/>
          </w:tcPr>
          <w:p w:rsidR="00F71186" w:rsidRPr="00F71186" w:rsidRDefault="00F71186" w:rsidP="00F74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1 (0 – 1)</w:t>
            </w:r>
          </w:p>
        </w:tc>
        <w:tc>
          <w:tcPr>
            <w:tcW w:w="1856" w:type="dxa"/>
          </w:tcPr>
          <w:p w:rsidR="00F71186" w:rsidRPr="00F71186" w:rsidRDefault="00F71186" w:rsidP="00F74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0 (0 – 1)</w:t>
            </w:r>
          </w:p>
        </w:tc>
        <w:tc>
          <w:tcPr>
            <w:tcW w:w="1034" w:type="dxa"/>
          </w:tcPr>
          <w:p w:rsidR="00F71186" w:rsidRPr="00F71186" w:rsidRDefault="00F71186" w:rsidP="00F74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0.362</w:t>
            </w:r>
          </w:p>
        </w:tc>
      </w:tr>
      <w:tr w:rsidR="00F71186" w:rsidRPr="00F71186" w:rsidTr="00F74BE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:rsidR="00F71186" w:rsidRPr="00F71186" w:rsidRDefault="00F71186" w:rsidP="00F74BEB">
            <w:pPr>
              <w:rPr>
                <w:b w:val="0"/>
                <w:lang w:val="en-US"/>
              </w:rPr>
            </w:pPr>
          </w:p>
        </w:tc>
        <w:tc>
          <w:tcPr>
            <w:tcW w:w="1208" w:type="dxa"/>
          </w:tcPr>
          <w:p w:rsidR="00F71186" w:rsidRPr="00F71186" w:rsidRDefault="00F71186" w:rsidP="00F74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Function</w:t>
            </w:r>
          </w:p>
        </w:tc>
        <w:tc>
          <w:tcPr>
            <w:tcW w:w="1813" w:type="dxa"/>
          </w:tcPr>
          <w:p w:rsidR="00F71186" w:rsidRPr="00F71186" w:rsidRDefault="00F71186" w:rsidP="00F74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5 (0 – 11)</w:t>
            </w:r>
          </w:p>
        </w:tc>
        <w:tc>
          <w:tcPr>
            <w:tcW w:w="1856" w:type="dxa"/>
          </w:tcPr>
          <w:p w:rsidR="00F71186" w:rsidRPr="00F71186" w:rsidRDefault="00F71186" w:rsidP="00F74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2 (0 – 7)</w:t>
            </w:r>
          </w:p>
        </w:tc>
        <w:tc>
          <w:tcPr>
            <w:tcW w:w="1034" w:type="dxa"/>
          </w:tcPr>
          <w:p w:rsidR="00F71186" w:rsidRPr="00F71186" w:rsidRDefault="00F71186" w:rsidP="00F74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0.318</w:t>
            </w:r>
          </w:p>
        </w:tc>
      </w:tr>
      <w:tr w:rsidR="00F71186" w:rsidRPr="00F71186" w:rsidTr="00F74BE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:rsidR="00F71186" w:rsidRPr="00F71186" w:rsidRDefault="00F71186" w:rsidP="00F74BEB">
            <w:pPr>
              <w:rPr>
                <w:b w:val="0"/>
                <w:lang w:val="en-US"/>
              </w:rPr>
            </w:pPr>
            <w:r w:rsidRPr="00F71186">
              <w:rPr>
                <w:lang w:val="en-US"/>
              </w:rPr>
              <w:t>WOMAC</w:t>
            </w:r>
          </w:p>
        </w:tc>
        <w:tc>
          <w:tcPr>
            <w:tcW w:w="1208" w:type="dxa"/>
          </w:tcPr>
          <w:p w:rsidR="00F71186" w:rsidRPr="00F71186" w:rsidRDefault="00F71186" w:rsidP="00F74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Total</w:t>
            </w:r>
          </w:p>
        </w:tc>
        <w:tc>
          <w:tcPr>
            <w:tcW w:w="1813" w:type="dxa"/>
          </w:tcPr>
          <w:p w:rsidR="00F71186" w:rsidRPr="00F71186" w:rsidRDefault="00F71186" w:rsidP="00F74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12 (3 – 28)</w:t>
            </w:r>
          </w:p>
        </w:tc>
        <w:tc>
          <w:tcPr>
            <w:tcW w:w="1856" w:type="dxa"/>
          </w:tcPr>
          <w:p w:rsidR="00F71186" w:rsidRPr="00F71186" w:rsidRDefault="00F71186" w:rsidP="00F74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21 (3 – 35)</w:t>
            </w:r>
          </w:p>
        </w:tc>
        <w:tc>
          <w:tcPr>
            <w:tcW w:w="1034" w:type="dxa"/>
          </w:tcPr>
          <w:p w:rsidR="00F71186" w:rsidRPr="00F71186" w:rsidRDefault="00F71186" w:rsidP="00F74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0.482</w:t>
            </w:r>
          </w:p>
        </w:tc>
      </w:tr>
      <w:tr w:rsidR="00F71186" w:rsidRPr="00F71186" w:rsidTr="00F74BE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:rsidR="00F71186" w:rsidRPr="00F71186" w:rsidRDefault="00F71186" w:rsidP="00F74BEB">
            <w:pPr>
              <w:rPr>
                <w:b w:val="0"/>
                <w:lang w:val="en-US"/>
              </w:rPr>
            </w:pPr>
          </w:p>
        </w:tc>
        <w:tc>
          <w:tcPr>
            <w:tcW w:w="1208" w:type="dxa"/>
          </w:tcPr>
          <w:p w:rsidR="00F71186" w:rsidRPr="00F71186" w:rsidRDefault="00F71186" w:rsidP="00F74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Pain</w:t>
            </w:r>
          </w:p>
        </w:tc>
        <w:tc>
          <w:tcPr>
            <w:tcW w:w="1813" w:type="dxa"/>
          </w:tcPr>
          <w:p w:rsidR="00F71186" w:rsidRPr="00F71186" w:rsidRDefault="00F71186" w:rsidP="00F74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9 (2 – 29)</w:t>
            </w:r>
          </w:p>
        </w:tc>
        <w:tc>
          <w:tcPr>
            <w:tcW w:w="1856" w:type="dxa"/>
          </w:tcPr>
          <w:p w:rsidR="00F71186" w:rsidRPr="00F71186" w:rsidRDefault="00F71186" w:rsidP="00F74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13 (2 – 24)</w:t>
            </w:r>
          </w:p>
        </w:tc>
        <w:tc>
          <w:tcPr>
            <w:tcW w:w="1034" w:type="dxa"/>
          </w:tcPr>
          <w:p w:rsidR="00F71186" w:rsidRPr="00F71186" w:rsidRDefault="00F71186" w:rsidP="00F74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0.619</w:t>
            </w:r>
          </w:p>
        </w:tc>
      </w:tr>
      <w:tr w:rsidR="00F71186" w:rsidRPr="00F71186" w:rsidTr="00F74BE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:rsidR="00F71186" w:rsidRPr="00F71186" w:rsidRDefault="00F71186" w:rsidP="00F74BEB">
            <w:pPr>
              <w:rPr>
                <w:b w:val="0"/>
                <w:lang w:val="en-US"/>
              </w:rPr>
            </w:pPr>
          </w:p>
        </w:tc>
        <w:tc>
          <w:tcPr>
            <w:tcW w:w="1208" w:type="dxa"/>
          </w:tcPr>
          <w:p w:rsidR="00F71186" w:rsidRPr="00F71186" w:rsidRDefault="00F71186" w:rsidP="00F74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Stiffness</w:t>
            </w:r>
          </w:p>
        </w:tc>
        <w:tc>
          <w:tcPr>
            <w:tcW w:w="1813" w:type="dxa"/>
          </w:tcPr>
          <w:p w:rsidR="00F71186" w:rsidRPr="00F71186" w:rsidRDefault="00F71186" w:rsidP="00F74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18 (5 – 42)</w:t>
            </w:r>
          </w:p>
        </w:tc>
        <w:tc>
          <w:tcPr>
            <w:tcW w:w="1856" w:type="dxa"/>
          </w:tcPr>
          <w:p w:rsidR="00F71186" w:rsidRPr="00F71186" w:rsidRDefault="00F71186" w:rsidP="00F74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22 (4 – 59)</w:t>
            </w:r>
          </w:p>
        </w:tc>
        <w:tc>
          <w:tcPr>
            <w:tcW w:w="1034" w:type="dxa"/>
          </w:tcPr>
          <w:p w:rsidR="00F71186" w:rsidRPr="00F71186" w:rsidRDefault="00F71186" w:rsidP="00F74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0.373</w:t>
            </w:r>
          </w:p>
        </w:tc>
      </w:tr>
      <w:tr w:rsidR="00F71186" w:rsidRPr="002B0492" w:rsidTr="00F74BEB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  <w:tcBorders>
              <w:bottom w:val="single" w:sz="8" w:space="0" w:color="auto"/>
            </w:tcBorders>
          </w:tcPr>
          <w:p w:rsidR="00F71186" w:rsidRPr="00F71186" w:rsidRDefault="00F71186" w:rsidP="00F74BEB">
            <w:pPr>
              <w:rPr>
                <w:b w:val="0"/>
                <w:lang w:val="en-US"/>
              </w:rPr>
            </w:pPr>
          </w:p>
        </w:tc>
        <w:tc>
          <w:tcPr>
            <w:tcW w:w="1208" w:type="dxa"/>
            <w:tcBorders>
              <w:bottom w:val="single" w:sz="8" w:space="0" w:color="auto"/>
            </w:tcBorders>
          </w:tcPr>
          <w:p w:rsidR="00F71186" w:rsidRPr="00F71186" w:rsidRDefault="00F71186" w:rsidP="00F74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Function</w:t>
            </w:r>
          </w:p>
        </w:tc>
        <w:tc>
          <w:tcPr>
            <w:tcW w:w="1813" w:type="dxa"/>
            <w:tcBorders>
              <w:bottom w:val="single" w:sz="8" w:space="0" w:color="auto"/>
            </w:tcBorders>
          </w:tcPr>
          <w:p w:rsidR="00F71186" w:rsidRPr="00F71186" w:rsidRDefault="00F71186" w:rsidP="00F74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10 (3 – 26)</w:t>
            </w:r>
          </w:p>
        </w:tc>
        <w:tc>
          <w:tcPr>
            <w:tcW w:w="1856" w:type="dxa"/>
            <w:tcBorders>
              <w:bottom w:val="single" w:sz="8" w:space="0" w:color="auto"/>
            </w:tcBorders>
          </w:tcPr>
          <w:p w:rsidR="00F71186" w:rsidRPr="00F71186" w:rsidRDefault="00F71186" w:rsidP="00F74B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15 (3 – 38)</w:t>
            </w:r>
          </w:p>
        </w:tc>
        <w:tc>
          <w:tcPr>
            <w:tcW w:w="1034" w:type="dxa"/>
            <w:tcBorders>
              <w:bottom w:val="single" w:sz="8" w:space="0" w:color="auto"/>
            </w:tcBorders>
          </w:tcPr>
          <w:p w:rsidR="00F71186" w:rsidRPr="00F71186" w:rsidRDefault="00F71186" w:rsidP="00F74B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71186">
              <w:rPr>
                <w:lang w:val="en-US"/>
              </w:rPr>
              <w:t>0.411</w:t>
            </w:r>
          </w:p>
        </w:tc>
      </w:tr>
    </w:tbl>
    <w:p w:rsidR="00F71186" w:rsidRPr="00790841" w:rsidRDefault="00F71186" w:rsidP="00F71186">
      <w:pPr>
        <w:rPr>
          <w:lang w:val="en-US"/>
        </w:rPr>
      </w:pPr>
    </w:p>
    <w:p w:rsidR="00F71186" w:rsidRPr="0020798F" w:rsidRDefault="00F71186" w:rsidP="00F71186">
      <w:pPr>
        <w:spacing w:line="480" w:lineRule="auto"/>
        <w:jc w:val="both"/>
        <w:rPr>
          <w:b/>
          <w:lang w:val="en-US"/>
        </w:rPr>
      </w:pPr>
    </w:p>
    <w:p w:rsidR="00406226" w:rsidRDefault="00406226"/>
    <w:sectPr w:rsidR="004062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186"/>
    <w:rsid w:val="00406226"/>
    <w:rsid w:val="00F71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B7C784-ED9C-402B-AC2E-8E01CC796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1186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1Light">
    <w:name w:val="List Table 1 Light"/>
    <w:basedOn w:val="TableNormal"/>
    <w:uiPriority w:val="46"/>
    <w:rsid w:val="00F71186"/>
    <w:pPr>
      <w:spacing w:after="0"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832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Pelsma, I.C.M. (ENDO)</dc:creator>
  <cp:keywords/>
  <dc:description/>
  <cp:lastModifiedBy>Pelsma, I.C.M. (ENDO)</cp:lastModifiedBy>
  <cp:revision>1</cp:revision>
  <dcterms:created xsi:type="dcterms:W3CDTF">2020-09-23T11:03:00Z</dcterms:created>
  <dcterms:modified xsi:type="dcterms:W3CDTF">2020-09-23T11:04:00Z</dcterms:modified>
</cp:coreProperties>
</file>