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935C5" w14:textId="42A0CF63" w:rsidR="00A0652C" w:rsidRPr="00A0652C" w:rsidRDefault="00942C3D" w:rsidP="00907F0D">
      <w:pPr>
        <w:spacing w:after="0" w:line="240" w:lineRule="auto"/>
        <w:rPr>
          <w:rFonts w:ascii="Arial" w:hAnsi="Arial" w:cs="Arial"/>
          <w:b/>
          <w:bCs/>
        </w:rPr>
      </w:pPr>
      <w:bookmarkStart w:id="0" w:name="_Hlk173852834"/>
      <w:r w:rsidRPr="00A0652C">
        <w:rPr>
          <w:rFonts w:ascii="Arial" w:hAnsi="Arial" w:cs="Arial"/>
        </w:rPr>
        <w:t>Title:</w:t>
      </w:r>
      <w:r w:rsidRPr="00A0652C">
        <w:rPr>
          <w:rFonts w:ascii="Arial" w:hAnsi="Arial" w:cs="Arial"/>
          <w:b/>
          <w:bCs/>
        </w:rPr>
        <w:t xml:space="preserve"> </w:t>
      </w:r>
      <w:r w:rsidR="00A0652C" w:rsidRPr="00A0652C">
        <w:rPr>
          <w:rFonts w:ascii="Arial" w:hAnsi="Arial" w:cs="Arial"/>
          <w:b/>
          <w:bCs/>
        </w:rPr>
        <w:t xml:space="preserve">Geothermal Project on TU Delft Campus - DEL-GT-01 and DEL-GT-02 (-S1 &amp; -S2) Database of Physical Samples </w:t>
      </w:r>
    </w:p>
    <w:bookmarkEnd w:id="0"/>
    <w:p w14:paraId="539FD28D" w14:textId="77777777" w:rsidR="00907F0D" w:rsidRDefault="00907F0D" w:rsidP="00907F0D">
      <w:pPr>
        <w:spacing w:after="0" w:line="240" w:lineRule="auto"/>
        <w:rPr>
          <w:rFonts w:ascii="Arial" w:hAnsi="Arial" w:cs="Arial"/>
        </w:rPr>
      </w:pPr>
    </w:p>
    <w:p w14:paraId="6F38D777" w14:textId="6DB1C3DA" w:rsidR="007E24DF" w:rsidRDefault="007E24DF" w:rsidP="00907F0D">
      <w:pPr>
        <w:spacing w:after="0" w:line="240" w:lineRule="auto"/>
        <w:rPr>
          <w:rFonts w:ascii="Arial" w:hAnsi="Arial" w:cs="Arial"/>
        </w:rPr>
      </w:pPr>
      <w:r w:rsidRPr="007E24DF">
        <w:rPr>
          <w:rFonts w:ascii="Arial" w:hAnsi="Arial" w:cs="Arial"/>
        </w:rPr>
        <w:t xml:space="preserve">DOI of </w:t>
      </w:r>
      <w:r>
        <w:rPr>
          <w:rFonts w:ascii="Arial" w:hAnsi="Arial" w:cs="Arial"/>
        </w:rPr>
        <w:t>this</w:t>
      </w:r>
      <w:r w:rsidRPr="007E24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dataset: </w:t>
      </w:r>
      <w:hyperlink r:id="rId5" w:history="1">
        <w:r w:rsidR="00190D91" w:rsidRPr="006D058B">
          <w:rPr>
            <w:rStyle w:val="Hyperlink"/>
            <w:rFonts w:ascii="Arial" w:hAnsi="Arial" w:cs="Arial"/>
          </w:rPr>
          <w:t>https://www.doi.org/10.4121/2292437e-2ce4-42b7-8350-7774d762cc60</w:t>
        </w:r>
      </w:hyperlink>
      <w:r w:rsidR="00190D91">
        <w:rPr>
          <w:rFonts w:ascii="Arial" w:hAnsi="Arial" w:cs="Arial"/>
        </w:rPr>
        <w:t xml:space="preserve"> </w:t>
      </w:r>
    </w:p>
    <w:p w14:paraId="57CA55FD" w14:textId="77777777" w:rsidR="00907F0D" w:rsidRDefault="00907F0D" w:rsidP="00907F0D">
      <w:pPr>
        <w:spacing w:after="0" w:line="240" w:lineRule="auto"/>
        <w:rPr>
          <w:rFonts w:ascii="Arial" w:hAnsi="Arial" w:cs="Arial"/>
        </w:rPr>
      </w:pPr>
    </w:p>
    <w:p w14:paraId="4A4000BC" w14:textId="3F3398A5" w:rsidR="00BC3CF8" w:rsidRPr="00BC3CF8" w:rsidRDefault="00BC3CF8" w:rsidP="00907F0D">
      <w:pPr>
        <w:spacing w:after="0" w:line="240" w:lineRule="auto"/>
        <w:rPr>
          <w:rFonts w:ascii="Arial" w:hAnsi="Arial" w:cs="Arial"/>
        </w:rPr>
      </w:pPr>
      <w:r w:rsidRPr="00BC3CF8">
        <w:rPr>
          <w:rFonts w:ascii="Arial" w:hAnsi="Arial" w:cs="Arial"/>
        </w:rPr>
        <w:t xml:space="preserve">Authors: </w:t>
      </w:r>
      <w:r w:rsidR="008003C6" w:rsidRPr="008003C6">
        <w:rPr>
          <w:rFonts w:ascii="Arial" w:hAnsi="Arial" w:cs="Arial"/>
        </w:rPr>
        <w:t>Liliana Vargas Meleza, Kaylee Elliott</w:t>
      </w:r>
      <w:r w:rsidR="007E24DF">
        <w:rPr>
          <w:rFonts w:ascii="Arial" w:hAnsi="Arial" w:cs="Arial"/>
        </w:rPr>
        <w:t>, Hemmo A. Abels</w:t>
      </w:r>
      <w:r w:rsidR="001720FC">
        <w:rPr>
          <w:rFonts w:ascii="Arial" w:hAnsi="Arial" w:cs="Arial"/>
        </w:rPr>
        <w:t>, Auke Barnhoorn.</w:t>
      </w:r>
      <w:r w:rsidR="007E24DF">
        <w:rPr>
          <w:rFonts w:ascii="Arial" w:hAnsi="Arial" w:cs="Arial"/>
        </w:rPr>
        <w:t xml:space="preserve"> </w:t>
      </w:r>
    </w:p>
    <w:p w14:paraId="42C4E1E9" w14:textId="77777777" w:rsidR="00907F0D" w:rsidRDefault="00907F0D" w:rsidP="00907F0D">
      <w:pPr>
        <w:spacing w:after="0" w:line="240" w:lineRule="auto"/>
        <w:rPr>
          <w:rFonts w:ascii="Arial" w:hAnsi="Arial" w:cs="Arial"/>
        </w:rPr>
      </w:pPr>
    </w:p>
    <w:p w14:paraId="7C29DB08" w14:textId="0851BCCE" w:rsidR="005303A4" w:rsidRDefault="005F73EA" w:rsidP="00907F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Affiliation: </w:t>
      </w:r>
      <w:r w:rsidR="005303A4" w:rsidRPr="005303A4">
        <w:rPr>
          <w:rFonts w:ascii="Arial" w:hAnsi="Arial" w:cs="Arial"/>
        </w:rPr>
        <w:t>TU Delft, Faculty of Civil Engineering and Geosciences (CEG), Department of Geoscience and Engineering (GSE)</w:t>
      </w:r>
    </w:p>
    <w:p w14:paraId="356C0470" w14:textId="77777777" w:rsidR="00907F0D" w:rsidRDefault="00907F0D" w:rsidP="00907F0D">
      <w:pPr>
        <w:spacing w:after="0" w:line="240" w:lineRule="auto"/>
        <w:rPr>
          <w:rFonts w:ascii="Arial" w:hAnsi="Arial" w:cs="Arial"/>
        </w:rPr>
      </w:pPr>
    </w:p>
    <w:p w14:paraId="69563B8A" w14:textId="3A687FF2" w:rsidR="00250C19" w:rsidRDefault="00BC3CF8" w:rsidP="00250C19">
      <w:pPr>
        <w:spacing w:after="0" w:line="240" w:lineRule="auto"/>
      </w:pPr>
      <w:r w:rsidRPr="00BC3CF8">
        <w:rPr>
          <w:rFonts w:ascii="Arial" w:hAnsi="Arial" w:cs="Arial"/>
        </w:rPr>
        <w:t xml:space="preserve">Corresponding author: </w:t>
      </w:r>
      <w:r w:rsidR="005303A4">
        <w:rPr>
          <w:rFonts w:ascii="Arial" w:hAnsi="Arial" w:cs="Arial"/>
        </w:rPr>
        <w:t>Liliana Vargas Meleza</w:t>
      </w:r>
      <w:r w:rsidRPr="00BC3CF8">
        <w:rPr>
          <w:rFonts w:ascii="Arial" w:hAnsi="Arial" w:cs="Arial"/>
        </w:rPr>
        <w:t xml:space="preserve"> </w:t>
      </w:r>
      <w:hyperlink r:id="rId6" w:history="1">
        <w:r w:rsidR="001720FC" w:rsidRPr="002B0B68">
          <w:rPr>
            <w:rStyle w:val="Hyperlink"/>
            <w:rFonts w:ascii="Arial" w:hAnsi="Arial" w:cs="Arial"/>
          </w:rPr>
          <w:t>l.vargasmeleza@tudelft.nl</w:t>
        </w:r>
      </w:hyperlink>
    </w:p>
    <w:p w14:paraId="7FAE0807" w14:textId="5EA3873A" w:rsidR="00250C19" w:rsidRPr="00250C19" w:rsidRDefault="00250C19" w:rsidP="00250C19">
      <w:pPr>
        <w:spacing w:after="0" w:line="240" w:lineRule="auto"/>
        <w:rPr>
          <w:rFonts w:ascii="Arial" w:hAnsi="Arial" w:cs="Arial"/>
          <w:color w:val="0000FF"/>
          <w:u w:val="single"/>
        </w:rPr>
      </w:pPr>
      <w:r w:rsidRPr="00250C19">
        <w:rPr>
          <w:rFonts w:ascii="Arial" w:hAnsi="Arial" w:cs="Arial"/>
        </w:rPr>
        <w:t xml:space="preserve">Contact: </w:t>
      </w:r>
      <w:r w:rsidR="001720FC">
        <w:rPr>
          <w:rFonts w:ascii="Arial" w:hAnsi="Arial" w:cs="Arial"/>
        </w:rPr>
        <w:t>Auke Barnhoorn</w:t>
      </w:r>
      <w:r w:rsidRPr="00250C19">
        <w:rPr>
          <w:rFonts w:ascii="Arial" w:hAnsi="Arial" w:cs="Arial"/>
        </w:rPr>
        <w:t xml:space="preserve"> </w:t>
      </w:r>
      <w:hyperlink r:id="rId7" w:history="1">
        <w:r w:rsidR="001720FC" w:rsidRPr="002B0B68">
          <w:rPr>
            <w:rStyle w:val="Hyperlink"/>
            <w:rFonts w:ascii="Arial" w:hAnsi="Arial" w:cs="Arial"/>
          </w:rPr>
          <w:t>auke.barnhoorn@tudelft.nl</w:t>
        </w:r>
      </w:hyperlink>
      <w:r w:rsidRPr="00250C19">
        <w:rPr>
          <w:rFonts w:ascii="Arial" w:hAnsi="Arial" w:cs="Arial"/>
        </w:rPr>
        <w:t xml:space="preserve"> </w:t>
      </w:r>
    </w:p>
    <w:p w14:paraId="12A92B09" w14:textId="77777777" w:rsidR="00907F0D" w:rsidRDefault="00907F0D" w:rsidP="00907F0D">
      <w:pPr>
        <w:spacing w:after="0" w:line="240" w:lineRule="auto"/>
        <w:rPr>
          <w:rFonts w:ascii="Arial" w:hAnsi="Arial" w:cs="Arial"/>
        </w:rPr>
      </w:pPr>
    </w:p>
    <w:p w14:paraId="7C8442CA" w14:textId="6E4E5706" w:rsidR="00D05EA3" w:rsidRPr="00BC3CF8" w:rsidRDefault="003A72AC" w:rsidP="00907F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DATA DESCRIPTION</w:t>
      </w:r>
    </w:p>
    <w:p w14:paraId="278919F2" w14:textId="77777777" w:rsidR="00907F0D" w:rsidRDefault="00907F0D" w:rsidP="00907F0D">
      <w:pPr>
        <w:spacing w:after="0" w:line="240" w:lineRule="auto"/>
        <w:rPr>
          <w:rFonts w:ascii="Arial" w:eastAsia="Calibri" w:hAnsi="Arial" w:cs="Arial"/>
          <w:kern w:val="24"/>
        </w:rPr>
      </w:pPr>
    </w:p>
    <w:p w14:paraId="3A0DA0F2" w14:textId="30858041" w:rsidR="00FD67C4" w:rsidRDefault="008003C6" w:rsidP="00907F0D">
      <w:pPr>
        <w:spacing w:after="0" w:line="240" w:lineRule="auto"/>
        <w:rPr>
          <w:rFonts w:ascii="Arial" w:eastAsia="Calibri" w:hAnsi="Arial" w:cs="Arial"/>
          <w:kern w:val="24"/>
        </w:rPr>
      </w:pPr>
      <w:bookmarkStart w:id="1" w:name="_Hlk173852855"/>
      <w:r w:rsidRPr="008003C6">
        <w:rPr>
          <w:rFonts w:ascii="Arial" w:eastAsia="Calibri" w:hAnsi="Arial" w:cs="Arial"/>
          <w:kern w:val="24"/>
        </w:rPr>
        <w:t>Th</w:t>
      </w:r>
      <w:r w:rsidR="00386065">
        <w:rPr>
          <w:rFonts w:ascii="Arial" w:eastAsia="Calibri" w:hAnsi="Arial" w:cs="Arial"/>
          <w:kern w:val="24"/>
        </w:rPr>
        <w:t>is</w:t>
      </w:r>
      <w:r w:rsidRPr="008003C6">
        <w:rPr>
          <w:rFonts w:ascii="Arial" w:eastAsia="Calibri" w:hAnsi="Arial" w:cs="Arial"/>
          <w:kern w:val="24"/>
        </w:rPr>
        <w:t xml:space="preserve"> data</w:t>
      </w:r>
      <w:r w:rsidR="00386065">
        <w:rPr>
          <w:rFonts w:ascii="Arial" w:eastAsia="Calibri" w:hAnsi="Arial" w:cs="Arial"/>
          <w:kern w:val="24"/>
        </w:rPr>
        <w:t xml:space="preserve"> </w:t>
      </w:r>
      <w:r w:rsidRPr="008003C6">
        <w:rPr>
          <w:rFonts w:ascii="Arial" w:eastAsia="Calibri" w:hAnsi="Arial" w:cs="Arial"/>
          <w:kern w:val="24"/>
        </w:rPr>
        <w:t>set contains</w:t>
      </w:r>
      <w:r w:rsidR="00423B19">
        <w:rPr>
          <w:rFonts w:ascii="Arial" w:eastAsia="Calibri" w:hAnsi="Arial" w:cs="Arial"/>
          <w:kern w:val="24"/>
        </w:rPr>
        <w:t xml:space="preserve"> the </w:t>
      </w:r>
      <w:r w:rsidR="004263CD">
        <w:rPr>
          <w:rFonts w:ascii="Arial" w:eastAsia="Calibri" w:hAnsi="Arial" w:cs="Arial"/>
          <w:kern w:val="24"/>
        </w:rPr>
        <w:t xml:space="preserve">relational </w:t>
      </w:r>
      <w:r w:rsidR="00423B19">
        <w:rPr>
          <w:rFonts w:ascii="Arial" w:eastAsia="Calibri" w:hAnsi="Arial" w:cs="Arial"/>
          <w:kern w:val="24"/>
        </w:rPr>
        <w:t xml:space="preserve">database </w:t>
      </w:r>
      <w:r w:rsidR="00723EA0">
        <w:rPr>
          <w:rFonts w:ascii="Arial" w:eastAsia="Calibri" w:hAnsi="Arial" w:cs="Arial"/>
          <w:kern w:val="24"/>
        </w:rPr>
        <w:t xml:space="preserve">with the information about </w:t>
      </w:r>
      <w:r w:rsidR="00423B19">
        <w:rPr>
          <w:rFonts w:ascii="Arial" w:eastAsia="Calibri" w:hAnsi="Arial" w:cs="Arial"/>
          <w:kern w:val="24"/>
        </w:rPr>
        <w:t>all physical samples collected</w:t>
      </w:r>
      <w:r w:rsidRPr="008003C6">
        <w:rPr>
          <w:rFonts w:ascii="Arial" w:eastAsia="Calibri" w:hAnsi="Arial" w:cs="Arial"/>
          <w:kern w:val="24"/>
        </w:rPr>
        <w:t xml:space="preserve"> during the installation of the geothermal </w:t>
      </w:r>
      <w:r w:rsidR="00E217A4">
        <w:rPr>
          <w:rFonts w:ascii="Arial" w:eastAsia="Calibri" w:hAnsi="Arial" w:cs="Arial"/>
          <w:kern w:val="24"/>
        </w:rPr>
        <w:t xml:space="preserve">well </w:t>
      </w:r>
      <w:r w:rsidR="00386065">
        <w:rPr>
          <w:rFonts w:ascii="Arial" w:eastAsia="Calibri" w:hAnsi="Arial" w:cs="Arial"/>
          <w:kern w:val="24"/>
        </w:rPr>
        <w:t>on TU Delft campus</w:t>
      </w:r>
      <w:r w:rsidR="00423B19">
        <w:rPr>
          <w:rFonts w:ascii="Arial" w:eastAsia="Calibri" w:hAnsi="Arial" w:cs="Arial"/>
          <w:kern w:val="24"/>
        </w:rPr>
        <w:t>,</w:t>
      </w:r>
      <w:r w:rsidR="006A54AC">
        <w:rPr>
          <w:rFonts w:ascii="Arial" w:eastAsia="Calibri" w:hAnsi="Arial" w:cs="Arial"/>
          <w:kern w:val="24"/>
        </w:rPr>
        <w:t xml:space="preserve"> </w:t>
      </w:r>
      <w:r w:rsidR="00386065">
        <w:rPr>
          <w:rFonts w:ascii="Arial" w:eastAsia="Calibri" w:hAnsi="Arial" w:cs="Arial"/>
          <w:kern w:val="24"/>
        </w:rPr>
        <w:t xml:space="preserve">between June and </w:t>
      </w:r>
      <w:r w:rsidR="006A54AC">
        <w:rPr>
          <w:rFonts w:ascii="Arial" w:eastAsia="Calibri" w:hAnsi="Arial" w:cs="Arial"/>
          <w:kern w:val="24"/>
        </w:rPr>
        <w:t>November</w:t>
      </w:r>
      <w:r w:rsidR="00386065">
        <w:rPr>
          <w:rFonts w:ascii="Arial" w:eastAsia="Calibri" w:hAnsi="Arial" w:cs="Arial"/>
          <w:kern w:val="24"/>
        </w:rPr>
        <w:t xml:space="preserve"> of 2023.</w:t>
      </w:r>
      <w:r w:rsidR="006A54AC">
        <w:rPr>
          <w:rFonts w:ascii="Arial" w:eastAsia="Calibri" w:hAnsi="Arial" w:cs="Arial"/>
          <w:kern w:val="24"/>
        </w:rPr>
        <w:t xml:space="preserve"> T</w:t>
      </w:r>
      <w:r w:rsidR="006A54AC" w:rsidRPr="006A54AC">
        <w:rPr>
          <w:rFonts w:ascii="Arial" w:eastAsia="Calibri" w:hAnsi="Arial" w:cs="Arial"/>
          <w:kern w:val="24"/>
        </w:rPr>
        <w:t xml:space="preserve">he full description of the data </w:t>
      </w:r>
      <w:r w:rsidR="006A54AC">
        <w:rPr>
          <w:rFonts w:ascii="Arial" w:eastAsia="Calibri" w:hAnsi="Arial" w:cs="Arial"/>
          <w:kern w:val="24"/>
        </w:rPr>
        <w:t xml:space="preserve">collection </w:t>
      </w:r>
      <w:r w:rsidR="006A54AC" w:rsidRPr="006A54AC">
        <w:rPr>
          <w:rFonts w:ascii="Arial" w:eastAsia="Calibri" w:hAnsi="Arial" w:cs="Arial"/>
          <w:kern w:val="24"/>
        </w:rPr>
        <w:t xml:space="preserve">methods is provided in the </w:t>
      </w:r>
      <w:r w:rsidR="006A54AC">
        <w:rPr>
          <w:rFonts w:ascii="Arial" w:eastAsia="Calibri" w:hAnsi="Arial" w:cs="Arial"/>
          <w:kern w:val="24"/>
        </w:rPr>
        <w:t>Drilling Report of the campus geothermal doublet.</w:t>
      </w:r>
      <w:r w:rsidR="00FD67C4">
        <w:rPr>
          <w:rFonts w:ascii="Arial" w:eastAsia="Calibri" w:hAnsi="Arial" w:cs="Arial"/>
          <w:kern w:val="24"/>
        </w:rPr>
        <w:t xml:space="preserve"> </w:t>
      </w:r>
    </w:p>
    <w:p w14:paraId="31A6D86E" w14:textId="77777777" w:rsidR="00EA09CA" w:rsidRDefault="00EA09CA" w:rsidP="00907F0D">
      <w:pPr>
        <w:spacing w:after="0" w:line="240" w:lineRule="auto"/>
        <w:rPr>
          <w:rFonts w:ascii="Arial" w:eastAsia="Calibri" w:hAnsi="Arial" w:cs="Arial"/>
          <w:kern w:val="24"/>
        </w:rPr>
      </w:pPr>
    </w:p>
    <w:p w14:paraId="5BFA40C4" w14:textId="77777777" w:rsidR="008F508B" w:rsidRDefault="00723EA0" w:rsidP="008F508B">
      <w:pPr>
        <w:spacing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  <w:kern w:val="24"/>
        </w:rPr>
        <w:t>Th</w:t>
      </w:r>
      <w:r w:rsidR="00C9190B">
        <w:rPr>
          <w:rFonts w:ascii="Arial" w:eastAsia="Calibri" w:hAnsi="Arial" w:cs="Arial"/>
          <w:kern w:val="24"/>
        </w:rPr>
        <w:t>is</w:t>
      </w:r>
      <w:r>
        <w:rPr>
          <w:rFonts w:ascii="Arial" w:eastAsia="Calibri" w:hAnsi="Arial" w:cs="Arial"/>
          <w:kern w:val="24"/>
        </w:rPr>
        <w:t xml:space="preserve"> database </w:t>
      </w:r>
      <w:r w:rsidR="00861D52">
        <w:rPr>
          <w:rFonts w:ascii="Arial" w:eastAsia="Calibri" w:hAnsi="Arial" w:cs="Arial"/>
          <w:kern w:val="24"/>
        </w:rPr>
        <w:t>is</w:t>
      </w:r>
      <w:r w:rsidR="00FB32CA">
        <w:rPr>
          <w:rFonts w:ascii="Arial" w:eastAsia="Calibri" w:hAnsi="Arial" w:cs="Arial"/>
          <w:kern w:val="24"/>
        </w:rPr>
        <w:t xml:space="preserve"> a simple </w:t>
      </w:r>
      <w:r w:rsidR="00C9190B">
        <w:rPr>
          <w:rFonts w:ascii="Arial" w:eastAsia="Calibri" w:hAnsi="Arial" w:cs="Arial"/>
          <w:kern w:val="24"/>
        </w:rPr>
        <w:t xml:space="preserve">and easy-to-use </w:t>
      </w:r>
      <w:r w:rsidR="00FB32CA">
        <w:rPr>
          <w:rFonts w:ascii="Arial" w:eastAsia="Calibri" w:hAnsi="Arial" w:cs="Arial"/>
          <w:kern w:val="24"/>
        </w:rPr>
        <w:t xml:space="preserve">tool </w:t>
      </w:r>
      <w:r w:rsidR="00FB32CA">
        <w:rPr>
          <w:rFonts w:ascii="Arial" w:hAnsi="Arial" w:cs="Arial"/>
        </w:rPr>
        <w:t>t</w:t>
      </w:r>
      <w:r w:rsidR="00C9190B">
        <w:rPr>
          <w:rFonts w:ascii="Arial" w:hAnsi="Arial" w:cs="Arial"/>
        </w:rPr>
        <w:t>hat</w:t>
      </w:r>
      <w:r w:rsidR="00FB32CA">
        <w:rPr>
          <w:rFonts w:ascii="Arial" w:hAnsi="Arial" w:cs="Arial"/>
        </w:rPr>
        <w:t xml:space="preserve"> facilitate</w:t>
      </w:r>
      <w:r w:rsidR="00C9190B">
        <w:rPr>
          <w:rFonts w:ascii="Arial" w:hAnsi="Arial" w:cs="Arial"/>
        </w:rPr>
        <w:t>d</w:t>
      </w:r>
      <w:r w:rsidR="00FB32CA">
        <w:rPr>
          <w:rFonts w:ascii="Arial" w:hAnsi="Arial" w:cs="Arial"/>
        </w:rPr>
        <w:t xml:space="preserve"> the </w:t>
      </w:r>
      <w:r w:rsidR="00861D52">
        <w:rPr>
          <w:rFonts w:ascii="Arial" w:hAnsi="Arial" w:cs="Arial"/>
        </w:rPr>
        <w:t xml:space="preserve">initial </w:t>
      </w:r>
      <w:r w:rsidR="00FB32CA">
        <w:rPr>
          <w:rFonts w:ascii="Arial" w:hAnsi="Arial" w:cs="Arial"/>
        </w:rPr>
        <w:t xml:space="preserve">registration of samples collected </w:t>
      </w:r>
      <w:r w:rsidR="00EA09CA">
        <w:rPr>
          <w:rFonts w:ascii="Arial" w:hAnsi="Arial" w:cs="Arial"/>
        </w:rPr>
        <w:t>by TU Delft staff</w:t>
      </w:r>
      <w:r w:rsidR="00861D52">
        <w:rPr>
          <w:rFonts w:ascii="Arial" w:hAnsi="Arial" w:cs="Arial"/>
        </w:rPr>
        <w:t xml:space="preserve"> at the drilling sit</w:t>
      </w:r>
      <w:r w:rsidR="00C9190B">
        <w:rPr>
          <w:rFonts w:ascii="Arial" w:hAnsi="Arial" w:cs="Arial"/>
        </w:rPr>
        <w:t>e</w:t>
      </w:r>
      <w:r w:rsidR="00FB32CA">
        <w:rPr>
          <w:rFonts w:ascii="Arial" w:hAnsi="Arial" w:cs="Arial"/>
        </w:rPr>
        <w:t>.</w:t>
      </w:r>
      <w:r w:rsidR="003A72AC">
        <w:rPr>
          <w:rFonts w:ascii="Arial" w:hAnsi="Arial" w:cs="Arial"/>
        </w:rPr>
        <w:t xml:space="preserve"> </w:t>
      </w:r>
      <w:r w:rsidR="00FB32CA">
        <w:rPr>
          <w:rFonts w:ascii="Arial" w:hAnsi="Arial" w:cs="Arial"/>
        </w:rPr>
        <w:t xml:space="preserve">It has been </w:t>
      </w:r>
      <w:r w:rsidR="00FB32CA">
        <w:rPr>
          <w:rFonts w:ascii="Arial" w:eastAsia="Calibri" w:hAnsi="Arial" w:cs="Arial"/>
          <w:kern w:val="24"/>
        </w:rPr>
        <w:t xml:space="preserve">created </w:t>
      </w:r>
      <w:r w:rsidR="00861D52">
        <w:rPr>
          <w:rFonts w:ascii="Arial" w:eastAsia="Calibri" w:hAnsi="Arial" w:cs="Arial"/>
          <w:kern w:val="24"/>
        </w:rPr>
        <w:t>as a desktop application using</w:t>
      </w:r>
      <w:r w:rsidR="00FB32CA">
        <w:rPr>
          <w:rFonts w:ascii="Arial" w:eastAsia="Calibri" w:hAnsi="Arial" w:cs="Arial"/>
          <w:kern w:val="24"/>
        </w:rPr>
        <w:t xml:space="preserve"> </w:t>
      </w:r>
      <w:r w:rsidR="00FB32CA">
        <w:rPr>
          <w:rFonts w:ascii="Arial" w:hAnsi="Arial" w:cs="Arial"/>
        </w:rPr>
        <w:t>Access, the</w:t>
      </w:r>
      <w:r w:rsidR="00FB32CA" w:rsidRPr="00723EA0">
        <w:t xml:space="preserve"> </w:t>
      </w:r>
      <w:r w:rsidR="00FB32CA" w:rsidRPr="00723EA0">
        <w:rPr>
          <w:rFonts w:ascii="Arial" w:hAnsi="Arial" w:cs="Arial"/>
        </w:rPr>
        <w:t>database management system from Microsoft</w:t>
      </w:r>
      <w:r w:rsidR="00861D52">
        <w:rPr>
          <w:rFonts w:ascii="Arial" w:hAnsi="Arial" w:cs="Arial"/>
        </w:rPr>
        <w:t xml:space="preserve">, </w:t>
      </w:r>
      <w:r w:rsidR="003A72AC">
        <w:rPr>
          <w:rFonts w:ascii="Arial" w:hAnsi="Arial" w:cs="Arial"/>
        </w:rPr>
        <w:t>to enable</w:t>
      </w:r>
      <w:r w:rsidR="00861D52">
        <w:rPr>
          <w:rFonts w:ascii="Arial" w:hAnsi="Arial" w:cs="Arial"/>
        </w:rPr>
        <w:t xml:space="preserve"> a</w:t>
      </w:r>
      <w:r w:rsidR="00861D52" w:rsidRPr="00723EA0">
        <w:rPr>
          <w:rFonts w:ascii="Arial" w:hAnsi="Arial" w:cs="Arial"/>
        </w:rPr>
        <w:t xml:space="preserve"> graphical user interface</w:t>
      </w:r>
      <w:r w:rsidR="00C9190B">
        <w:rPr>
          <w:rFonts w:ascii="Arial" w:hAnsi="Arial" w:cs="Arial"/>
        </w:rPr>
        <w:t xml:space="preserve"> customised for the geothermal well project</w:t>
      </w:r>
      <w:r w:rsidR="00861D52">
        <w:rPr>
          <w:rFonts w:ascii="Arial" w:hAnsi="Arial" w:cs="Arial"/>
        </w:rPr>
        <w:t>.</w:t>
      </w:r>
      <w:r w:rsidR="00C9190B">
        <w:rPr>
          <w:rFonts w:ascii="Arial" w:hAnsi="Arial" w:cs="Arial"/>
        </w:rPr>
        <w:t xml:space="preserve"> </w:t>
      </w:r>
      <w:bookmarkEnd w:id="1"/>
      <w:r w:rsidR="008F508B" w:rsidRPr="002D79DB">
        <w:rPr>
          <w:rFonts w:ascii="Arial" w:hAnsi="Arial" w:cs="Arial"/>
        </w:rPr>
        <w:t xml:space="preserve">The full database structure and usage is described in the </w:t>
      </w:r>
      <w:r w:rsidR="008F508B">
        <w:rPr>
          <w:rFonts w:ascii="Arial" w:hAnsi="Arial" w:cs="Arial"/>
          <w:b/>
          <w:bCs/>
        </w:rPr>
        <w:t>D</w:t>
      </w:r>
      <w:r w:rsidR="008F508B" w:rsidRPr="002D79DB">
        <w:rPr>
          <w:rFonts w:ascii="Arial" w:hAnsi="Arial" w:cs="Arial"/>
          <w:b/>
          <w:bCs/>
        </w:rPr>
        <w:t>atabase_</w:t>
      </w:r>
      <w:r w:rsidR="008F508B">
        <w:rPr>
          <w:rFonts w:ascii="Arial" w:hAnsi="Arial" w:cs="Arial"/>
          <w:b/>
          <w:bCs/>
        </w:rPr>
        <w:t>User_Guide</w:t>
      </w:r>
      <w:r w:rsidR="008F508B" w:rsidRPr="002D79DB">
        <w:rPr>
          <w:rFonts w:ascii="Arial" w:hAnsi="Arial" w:cs="Arial"/>
          <w:b/>
          <w:bCs/>
        </w:rPr>
        <w:t>.pdf</w:t>
      </w:r>
      <w:r w:rsidR="008F508B" w:rsidRPr="002D79DB">
        <w:rPr>
          <w:rFonts w:ascii="Arial" w:hAnsi="Arial" w:cs="Arial"/>
        </w:rPr>
        <w:t xml:space="preserve"> file</w:t>
      </w:r>
      <w:r w:rsidR="008F508B">
        <w:rPr>
          <w:rFonts w:ascii="Arial" w:hAnsi="Arial" w:cs="Arial"/>
        </w:rPr>
        <w:t xml:space="preserve">. </w:t>
      </w:r>
    </w:p>
    <w:p w14:paraId="4D0817F2" w14:textId="77777777" w:rsidR="000446CA" w:rsidRPr="002D79DB" w:rsidRDefault="000446CA" w:rsidP="000446CA">
      <w:pPr>
        <w:spacing w:after="0" w:line="240" w:lineRule="auto"/>
        <w:rPr>
          <w:rFonts w:ascii="Arial" w:hAnsi="Arial" w:cs="Arial"/>
        </w:rPr>
      </w:pPr>
    </w:p>
    <w:p w14:paraId="5F86AF83" w14:textId="2F1681E4" w:rsidR="000446CA" w:rsidRDefault="000446CA" w:rsidP="008F508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Sample inventories are also provided as individual spread sheets to facilitate sample requests. Full description of the sample request procedure is described in the webpage </w:t>
      </w:r>
      <w:hyperlink r:id="rId8" w:history="1">
        <w:r w:rsidRPr="006D058B">
          <w:rPr>
            <w:rStyle w:val="Hyperlink"/>
            <w:rFonts w:ascii="Arial" w:hAnsi="Arial" w:cs="Arial"/>
          </w:rPr>
          <w:t>https://www.tudelft.nl/geothermalwell</w:t>
        </w:r>
      </w:hyperlink>
      <w:r>
        <w:rPr>
          <w:rFonts w:ascii="Arial" w:hAnsi="Arial" w:cs="Arial"/>
        </w:rPr>
        <w:t>.</w:t>
      </w:r>
    </w:p>
    <w:p w14:paraId="29F27B4C" w14:textId="77777777" w:rsidR="008F508B" w:rsidRDefault="008F508B" w:rsidP="008F508B">
      <w:pPr>
        <w:spacing w:after="0" w:line="240" w:lineRule="auto"/>
        <w:rPr>
          <w:rFonts w:ascii="Arial" w:hAnsi="Arial" w:cs="Arial"/>
        </w:rPr>
      </w:pPr>
    </w:p>
    <w:p w14:paraId="6FA64A72" w14:textId="2A9382C9" w:rsidR="00B70895" w:rsidRDefault="00B70895" w:rsidP="00907F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web application</w:t>
      </w:r>
      <w:r w:rsidR="00190D91">
        <w:rPr>
          <w:rFonts w:ascii="Arial" w:hAnsi="Arial" w:cs="Arial"/>
        </w:rPr>
        <w:t xml:space="preserve"> </w:t>
      </w:r>
      <w:r w:rsidR="003A72AC">
        <w:rPr>
          <w:rFonts w:ascii="Arial" w:hAnsi="Arial" w:cs="Arial"/>
        </w:rPr>
        <w:t xml:space="preserve">based on this sample database structure </w:t>
      </w:r>
      <w:r>
        <w:rPr>
          <w:rFonts w:ascii="Arial" w:hAnsi="Arial" w:cs="Arial"/>
        </w:rPr>
        <w:t xml:space="preserve">has been developed </w:t>
      </w:r>
      <w:r w:rsidR="00190D91">
        <w:rPr>
          <w:rFonts w:ascii="Arial" w:hAnsi="Arial" w:cs="Arial"/>
        </w:rPr>
        <w:t>with the support of the</w:t>
      </w:r>
      <w:r>
        <w:rPr>
          <w:rFonts w:ascii="Arial" w:hAnsi="Arial" w:cs="Arial"/>
        </w:rPr>
        <w:t xml:space="preserve"> TU Delft Digital Competence Centre (DCC) to enable remote access </w:t>
      </w:r>
      <w:r w:rsidR="00190D91">
        <w:rPr>
          <w:rFonts w:ascii="Arial" w:hAnsi="Arial" w:cs="Arial"/>
        </w:rPr>
        <w:t>and central data storage (DOI:</w:t>
      </w:r>
      <w:hyperlink r:id="rId9" w:history="1">
        <w:r w:rsidR="008F508B" w:rsidRPr="002B0B68">
          <w:rPr>
            <w:rStyle w:val="Hyperlink"/>
            <w:rFonts w:ascii="Arial" w:hAnsi="Arial" w:cs="Arial"/>
          </w:rPr>
          <w:t>https://doi.org/10.4121/09461663-32eb-4dda-aeba-28016fd7e7f6</w:t>
        </w:r>
      </w:hyperlink>
      <w:r w:rsidR="008F508B">
        <w:rPr>
          <w:rFonts w:ascii="Arial" w:hAnsi="Arial" w:cs="Arial"/>
        </w:rPr>
        <w:t>)</w:t>
      </w:r>
      <w:r w:rsidR="00190D91">
        <w:rPr>
          <w:rFonts w:ascii="Arial" w:hAnsi="Arial" w:cs="Arial"/>
        </w:rPr>
        <w:t xml:space="preserve">. </w:t>
      </w:r>
    </w:p>
    <w:p w14:paraId="7B0BDF86" w14:textId="77777777" w:rsidR="00AD2AA2" w:rsidRDefault="00AD2AA2" w:rsidP="00907F0D">
      <w:pPr>
        <w:spacing w:after="0" w:line="240" w:lineRule="auto"/>
        <w:rPr>
          <w:rFonts w:ascii="Arial" w:hAnsi="Arial" w:cs="Arial"/>
        </w:rPr>
      </w:pPr>
    </w:p>
    <w:p w14:paraId="2DAFB6AB" w14:textId="00E4EA3F" w:rsidR="004263CD" w:rsidRDefault="008F508B" w:rsidP="00907F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DATA SET CONTENTS</w:t>
      </w:r>
    </w:p>
    <w:p w14:paraId="03E49A72" w14:textId="77777777" w:rsidR="00907F0D" w:rsidRDefault="00907F0D" w:rsidP="00907F0D">
      <w:pPr>
        <w:spacing w:after="0" w:line="240" w:lineRule="auto"/>
        <w:rPr>
          <w:rFonts w:ascii="Arial" w:hAnsi="Arial" w:cs="Arial"/>
        </w:rPr>
      </w:pPr>
    </w:p>
    <w:p w14:paraId="1B74D0FC" w14:textId="34055D44" w:rsidR="00E20EE1" w:rsidRDefault="004263CD" w:rsidP="00907F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20EE1">
        <w:rPr>
          <w:rFonts w:ascii="Arial" w:hAnsi="Arial" w:cs="Arial"/>
        </w:rPr>
        <w:t>1 Database_User_Guide.pdf file</w:t>
      </w:r>
    </w:p>
    <w:p w14:paraId="0B36B745" w14:textId="44F3ACBA" w:rsidR="00907F0D" w:rsidRDefault="00E20EE1" w:rsidP="00BE26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C5BDC">
        <w:rPr>
          <w:rFonts w:ascii="Arial" w:hAnsi="Arial" w:cs="Arial"/>
        </w:rPr>
        <w:t>1</w:t>
      </w:r>
      <w:r w:rsidR="00907F0D">
        <w:rPr>
          <w:rFonts w:ascii="Arial" w:hAnsi="Arial" w:cs="Arial"/>
        </w:rPr>
        <w:t xml:space="preserve"> MS Access</w:t>
      </w:r>
      <w:r w:rsidR="00FB32CA">
        <w:rPr>
          <w:rFonts w:ascii="Arial" w:hAnsi="Arial" w:cs="Arial"/>
        </w:rPr>
        <w:t xml:space="preserve"> database</w:t>
      </w:r>
      <w:r>
        <w:rPr>
          <w:rFonts w:ascii="Arial" w:hAnsi="Arial" w:cs="Arial"/>
        </w:rPr>
        <w:t xml:space="preserve"> file</w:t>
      </w:r>
      <w:r w:rsidR="00FB32CA">
        <w:rPr>
          <w:rFonts w:ascii="Arial" w:hAnsi="Arial" w:cs="Arial"/>
        </w:rPr>
        <w:t xml:space="preserve">: </w:t>
      </w:r>
      <w:r w:rsidR="001C5BDC" w:rsidRPr="00FB32CA">
        <w:rPr>
          <w:rFonts w:ascii="Arial" w:hAnsi="Arial" w:cs="Arial"/>
        </w:rPr>
        <w:t>DELGT_geothermal_sample_db</w:t>
      </w:r>
      <w:r w:rsidR="001C5BDC">
        <w:rPr>
          <w:rFonts w:ascii="Arial" w:hAnsi="Arial" w:cs="Arial"/>
        </w:rPr>
        <w:t xml:space="preserve">.accdb  </w:t>
      </w:r>
    </w:p>
    <w:p w14:paraId="5F9C3A08" w14:textId="5B2ABDC6" w:rsidR="00907F0D" w:rsidRDefault="004263CD" w:rsidP="00907F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20EE1">
        <w:rPr>
          <w:rFonts w:ascii="Arial" w:hAnsi="Arial" w:cs="Arial"/>
        </w:rPr>
        <w:t>7</w:t>
      </w:r>
      <w:r w:rsidR="00FB32CA">
        <w:rPr>
          <w:rFonts w:ascii="Arial" w:hAnsi="Arial" w:cs="Arial"/>
        </w:rPr>
        <w:t xml:space="preserve"> </w:t>
      </w:r>
      <w:r w:rsidR="00907F0D">
        <w:rPr>
          <w:rFonts w:ascii="Arial" w:hAnsi="Arial" w:cs="Arial"/>
        </w:rPr>
        <w:t>sample inventor</w:t>
      </w:r>
      <w:r w:rsidR="00E20EE1">
        <w:rPr>
          <w:rFonts w:ascii="Arial" w:hAnsi="Arial" w:cs="Arial"/>
        </w:rPr>
        <w:t>y files in two different file formats</w:t>
      </w:r>
      <w:r w:rsidR="008F508B">
        <w:rPr>
          <w:rFonts w:ascii="Arial" w:hAnsi="Arial" w:cs="Arial"/>
        </w:rPr>
        <w:t>:</w:t>
      </w:r>
    </w:p>
    <w:p w14:paraId="6377BA1F" w14:textId="77777777" w:rsidR="001C5BDC" w:rsidRDefault="001C5BDC" w:rsidP="00907F0D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835" w:type="dxa"/>
        <w:tblLook w:val="04A0" w:firstRow="1" w:lastRow="0" w:firstColumn="1" w:lastColumn="0" w:noHBand="0" w:noVBand="1"/>
      </w:tblPr>
      <w:tblGrid>
        <w:gridCol w:w="3114"/>
        <w:gridCol w:w="3685"/>
      </w:tblGrid>
      <w:tr w:rsidR="00F00302" w:rsidRPr="008F508B" w14:paraId="2784D39B" w14:textId="77777777" w:rsidTr="00BE26B6">
        <w:tc>
          <w:tcPr>
            <w:tcW w:w="3114" w:type="dxa"/>
          </w:tcPr>
          <w:p w14:paraId="1B12E338" w14:textId="09B3C66E" w:rsidR="00F00302" w:rsidRPr="001C5BDC" w:rsidRDefault="002814C8" w:rsidP="00792B6C">
            <w:pPr>
              <w:rPr>
                <w:rFonts w:ascii="Arial" w:hAnsi="Arial" w:cs="Arial"/>
                <w:b/>
                <w:bCs/>
              </w:rPr>
            </w:pPr>
            <w:r w:rsidRPr="001C5BDC">
              <w:rPr>
                <w:rFonts w:ascii="Arial" w:hAnsi="Arial" w:cs="Arial"/>
                <w:b/>
                <w:bCs/>
              </w:rPr>
              <w:t xml:space="preserve">MS Excel  </w:t>
            </w:r>
          </w:p>
        </w:tc>
        <w:tc>
          <w:tcPr>
            <w:tcW w:w="3685" w:type="dxa"/>
          </w:tcPr>
          <w:p w14:paraId="3EA3A885" w14:textId="623120B8" w:rsidR="00F00302" w:rsidRPr="001C5BDC" w:rsidRDefault="002814C8" w:rsidP="00792B6C">
            <w:pPr>
              <w:rPr>
                <w:rFonts w:ascii="Arial" w:hAnsi="Arial" w:cs="Arial"/>
                <w:b/>
                <w:bCs/>
              </w:rPr>
            </w:pPr>
            <w:r w:rsidRPr="001C5BDC">
              <w:rPr>
                <w:rFonts w:ascii="Arial" w:hAnsi="Arial" w:cs="Arial"/>
                <w:b/>
                <w:bCs/>
              </w:rPr>
              <w:t>Comma Separated Value (CSV)</w:t>
            </w:r>
          </w:p>
        </w:tc>
      </w:tr>
      <w:tr w:rsidR="00F00302" w:rsidRPr="008F508B" w14:paraId="53B1512A" w14:textId="482CB7D5" w:rsidTr="00BE26B6">
        <w:tc>
          <w:tcPr>
            <w:tcW w:w="3114" w:type="dxa"/>
          </w:tcPr>
          <w:p w14:paraId="77A36D9E" w14:textId="77777777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>tb_core.xlsx</w:t>
            </w:r>
          </w:p>
        </w:tc>
        <w:tc>
          <w:tcPr>
            <w:tcW w:w="3685" w:type="dxa"/>
          </w:tcPr>
          <w:p w14:paraId="76953A98" w14:textId="5F62081F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>tb_core.</w:t>
            </w:r>
            <w:r>
              <w:rPr>
                <w:rFonts w:ascii="Arial" w:hAnsi="Arial" w:cs="Arial"/>
              </w:rPr>
              <w:t>csv</w:t>
            </w:r>
          </w:p>
        </w:tc>
      </w:tr>
      <w:tr w:rsidR="00F00302" w:rsidRPr="008F508B" w14:paraId="58D3005F" w14:textId="55F5DFB7" w:rsidTr="00BE26B6">
        <w:tc>
          <w:tcPr>
            <w:tcW w:w="3114" w:type="dxa"/>
          </w:tcPr>
          <w:p w14:paraId="5483A162" w14:textId="493D847E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 xml:space="preserve">tb_core_catcher.xlsx </w:t>
            </w:r>
          </w:p>
        </w:tc>
        <w:tc>
          <w:tcPr>
            <w:tcW w:w="3685" w:type="dxa"/>
          </w:tcPr>
          <w:p w14:paraId="54944B1E" w14:textId="09CC4F19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>tb_core_catcher</w:t>
            </w:r>
            <w:r>
              <w:rPr>
                <w:rFonts w:ascii="Arial" w:hAnsi="Arial" w:cs="Arial"/>
              </w:rPr>
              <w:t>.csv</w:t>
            </w:r>
          </w:p>
        </w:tc>
      </w:tr>
      <w:tr w:rsidR="00F00302" w:rsidRPr="008F508B" w14:paraId="0E8AC83C" w14:textId="58129D5B" w:rsidTr="00BE26B6">
        <w:tc>
          <w:tcPr>
            <w:tcW w:w="3114" w:type="dxa"/>
          </w:tcPr>
          <w:p w14:paraId="47E3F069" w14:textId="5F5568C2" w:rsidR="00F00302" w:rsidRPr="008F508B" w:rsidRDefault="00F00302" w:rsidP="00F00302">
            <w:pPr>
              <w:rPr>
                <w:rFonts w:ascii="Arial" w:hAnsi="Arial" w:cs="Arial"/>
              </w:rPr>
            </w:pPr>
            <w:r w:rsidRPr="00A334C4">
              <w:rPr>
                <w:rFonts w:ascii="Arial" w:hAnsi="Arial" w:cs="Arial"/>
              </w:rPr>
              <w:t>tb_core_chip.xlsx</w:t>
            </w:r>
          </w:p>
        </w:tc>
        <w:tc>
          <w:tcPr>
            <w:tcW w:w="3685" w:type="dxa"/>
          </w:tcPr>
          <w:p w14:paraId="5D2B95A2" w14:textId="5CF6A219" w:rsidR="00F00302" w:rsidRPr="00A334C4" w:rsidRDefault="00F00302" w:rsidP="00F00302">
            <w:pPr>
              <w:rPr>
                <w:rFonts w:ascii="Arial" w:hAnsi="Arial" w:cs="Arial"/>
              </w:rPr>
            </w:pPr>
            <w:r w:rsidRPr="00A334C4">
              <w:rPr>
                <w:rFonts w:ascii="Arial" w:hAnsi="Arial" w:cs="Arial"/>
              </w:rPr>
              <w:t>tb_core_chip.</w:t>
            </w:r>
            <w:r>
              <w:rPr>
                <w:rFonts w:ascii="Arial" w:hAnsi="Arial" w:cs="Arial"/>
              </w:rPr>
              <w:t>csv</w:t>
            </w:r>
          </w:p>
        </w:tc>
      </w:tr>
      <w:tr w:rsidR="00F00302" w:rsidRPr="008F508B" w14:paraId="620F7AC6" w14:textId="6C183F11" w:rsidTr="00BE26B6">
        <w:tc>
          <w:tcPr>
            <w:tcW w:w="3114" w:type="dxa"/>
          </w:tcPr>
          <w:p w14:paraId="375564F9" w14:textId="42C37467" w:rsidR="00F00302" w:rsidRPr="00A334C4" w:rsidRDefault="00F00302" w:rsidP="00F00302">
            <w:pPr>
              <w:rPr>
                <w:rFonts w:ascii="Arial" w:hAnsi="Arial" w:cs="Arial"/>
              </w:rPr>
            </w:pPr>
            <w:r w:rsidRPr="00A334C4">
              <w:rPr>
                <w:rFonts w:ascii="Arial" w:hAnsi="Arial" w:cs="Arial"/>
              </w:rPr>
              <w:t>tb_core_plug.xlsx</w:t>
            </w:r>
          </w:p>
        </w:tc>
        <w:tc>
          <w:tcPr>
            <w:tcW w:w="3685" w:type="dxa"/>
          </w:tcPr>
          <w:p w14:paraId="7938597F" w14:textId="5C0EFA3B" w:rsidR="00F00302" w:rsidRPr="00A334C4" w:rsidRDefault="00F00302" w:rsidP="00F00302">
            <w:pPr>
              <w:rPr>
                <w:rFonts w:ascii="Arial" w:hAnsi="Arial" w:cs="Arial"/>
              </w:rPr>
            </w:pPr>
            <w:r w:rsidRPr="00A334C4">
              <w:rPr>
                <w:rFonts w:ascii="Arial" w:hAnsi="Arial" w:cs="Arial"/>
              </w:rPr>
              <w:t>tb_core_plug.</w:t>
            </w:r>
            <w:r>
              <w:rPr>
                <w:rFonts w:ascii="Arial" w:hAnsi="Arial" w:cs="Arial"/>
              </w:rPr>
              <w:t>csv</w:t>
            </w:r>
          </w:p>
        </w:tc>
      </w:tr>
      <w:tr w:rsidR="00F00302" w:rsidRPr="008F508B" w14:paraId="01CD6179" w14:textId="01CE53C1" w:rsidTr="00BE26B6">
        <w:tc>
          <w:tcPr>
            <w:tcW w:w="3114" w:type="dxa"/>
          </w:tcPr>
          <w:p w14:paraId="6A70BB46" w14:textId="0E1CF9C6" w:rsidR="00F00302" w:rsidRPr="00A334C4" w:rsidRDefault="00F00302" w:rsidP="00F00302">
            <w:pPr>
              <w:rPr>
                <w:rFonts w:ascii="Arial" w:hAnsi="Arial" w:cs="Arial"/>
              </w:rPr>
            </w:pPr>
            <w:r w:rsidRPr="00A334C4">
              <w:rPr>
                <w:rFonts w:ascii="Arial" w:hAnsi="Arial" w:cs="Arial"/>
              </w:rPr>
              <w:t>tb_cuttings.xlsx</w:t>
            </w:r>
          </w:p>
        </w:tc>
        <w:tc>
          <w:tcPr>
            <w:tcW w:w="3685" w:type="dxa"/>
          </w:tcPr>
          <w:p w14:paraId="636FB4E7" w14:textId="57B1475D" w:rsidR="00F00302" w:rsidRPr="00A334C4" w:rsidRDefault="00F00302" w:rsidP="00F00302">
            <w:pPr>
              <w:rPr>
                <w:rFonts w:ascii="Arial" w:hAnsi="Arial" w:cs="Arial"/>
              </w:rPr>
            </w:pPr>
            <w:r w:rsidRPr="00A334C4">
              <w:rPr>
                <w:rFonts w:ascii="Arial" w:hAnsi="Arial" w:cs="Arial"/>
              </w:rPr>
              <w:t>tb_cuttings.</w:t>
            </w:r>
            <w:r>
              <w:rPr>
                <w:rFonts w:ascii="Arial" w:hAnsi="Arial" w:cs="Arial"/>
              </w:rPr>
              <w:t>csv</w:t>
            </w:r>
          </w:p>
        </w:tc>
      </w:tr>
      <w:tr w:rsidR="00F00302" w:rsidRPr="008F508B" w14:paraId="7E4D8773" w14:textId="4F7BFF0D" w:rsidTr="00BE26B6">
        <w:tc>
          <w:tcPr>
            <w:tcW w:w="3114" w:type="dxa"/>
          </w:tcPr>
          <w:p w14:paraId="31C21933" w14:textId="77777777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>tb_sidewall_core.xlsx</w:t>
            </w:r>
          </w:p>
        </w:tc>
        <w:tc>
          <w:tcPr>
            <w:tcW w:w="3685" w:type="dxa"/>
          </w:tcPr>
          <w:p w14:paraId="62F46D3D" w14:textId="640CAAC3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>tb_sidewall_core.</w:t>
            </w:r>
            <w:r>
              <w:rPr>
                <w:rFonts w:ascii="Arial" w:hAnsi="Arial" w:cs="Arial"/>
              </w:rPr>
              <w:t>csv</w:t>
            </w:r>
          </w:p>
        </w:tc>
      </w:tr>
      <w:tr w:rsidR="00F00302" w:rsidRPr="008F508B" w14:paraId="11EFE324" w14:textId="560F9CFE" w:rsidTr="00BE26B6">
        <w:tc>
          <w:tcPr>
            <w:tcW w:w="3114" w:type="dxa"/>
          </w:tcPr>
          <w:p w14:paraId="7F524361" w14:textId="77777777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>tb_brine.xlsx</w:t>
            </w:r>
          </w:p>
        </w:tc>
        <w:tc>
          <w:tcPr>
            <w:tcW w:w="3685" w:type="dxa"/>
          </w:tcPr>
          <w:p w14:paraId="3006A254" w14:textId="604792BD" w:rsidR="00F00302" w:rsidRPr="008F508B" w:rsidRDefault="00F00302" w:rsidP="00F00302">
            <w:pPr>
              <w:rPr>
                <w:rFonts w:ascii="Arial" w:hAnsi="Arial" w:cs="Arial"/>
              </w:rPr>
            </w:pPr>
            <w:r w:rsidRPr="008F508B">
              <w:rPr>
                <w:rFonts w:ascii="Arial" w:hAnsi="Arial" w:cs="Arial"/>
              </w:rPr>
              <w:t>tb_brine.</w:t>
            </w:r>
            <w:r>
              <w:rPr>
                <w:rFonts w:ascii="Arial" w:hAnsi="Arial" w:cs="Arial"/>
              </w:rPr>
              <w:t>csv</w:t>
            </w:r>
          </w:p>
        </w:tc>
      </w:tr>
    </w:tbl>
    <w:p w14:paraId="51336F18" w14:textId="77777777" w:rsidR="001C5BDC" w:rsidRDefault="001C5BDC" w:rsidP="00907F0D">
      <w:pPr>
        <w:spacing w:after="0" w:line="240" w:lineRule="auto"/>
        <w:rPr>
          <w:rFonts w:ascii="Arial" w:hAnsi="Arial" w:cs="Arial"/>
        </w:rPr>
      </w:pPr>
    </w:p>
    <w:p w14:paraId="6C0C6B3E" w14:textId="77777777" w:rsidR="001C5BDC" w:rsidRDefault="001C5BDC" w:rsidP="00907F0D">
      <w:pPr>
        <w:spacing w:after="0" w:line="240" w:lineRule="auto"/>
        <w:rPr>
          <w:rFonts w:ascii="Arial" w:hAnsi="Arial" w:cs="Arial"/>
        </w:rPr>
      </w:pPr>
    </w:p>
    <w:p w14:paraId="26113B3E" w14:textId="3D39C376" w:rsidR="004263CD" w:rsidRDefault="008F508B" w:rsidP="00907F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DATA SPECIFIC INFORMATION</w:t>
      </w:r>
    </w:p>
    <w:p w14:paraId="6529EEA7" w14:textId="77777777" w:rsidR="00975DDA" w:rsidRDefault="00975DDA" w:rsidP="00907F0D">
      <w:pPr>
        <w:spacing w:after="0" w:line="240" w:lineRule="auto"/>
        <w:rPr>
          <w:rFonts w:ascii="Arial" w:hAnsi="Arial" w:cs="Arial"/>
        </w:rPr>
      </w:pPr>
    </w:p>
    <w:p w14:paraId="1A55D6E4" w14:textId="76A703D1" w:rsidR="00590010" w:rsidRDefault="00975DDA" w:rsidP="00A67E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Sample names </w:t>
      </w:r>
      <w:r w:rsidR="003329BA">
        <w:rPr>
          <w:rFonts w:ascii="Arial" w:hAnsi="Arial" w:cs="Arial"/>
        </w:rPr>
        <w:t xml:space="preserve">in this database </w:t>
      </w:r>
      <w:r>
        <w:rPr>
          <w:rFonts w:ascii="Arial" w:hAnsi="Arial" w:cs="Arial"/>
        </w:rPr>
        <w:t>follow the naming convention adopted by the campus geothermal project to enable sample tracking</w:t>
      </w:r>
      <w:r w:rsidR="00A67EC0">
        <w:rPr>
          <w:rFonts w:ascii="Arial" w:hAnsi="Arial" w:cs="Arial"/>
        </w:rPr>
        <w:t xml:space="preserve">, </w:t>
      </w:r>
      <w:r w:rsidR="007B4DBD">
        <w:rPr>
          <w:rFonts w:ascii="Arial" w:hAnsi="Arial" w:cs="Arial"/>
        </w:rPr>
        <w:t>consist</w:t>
      </w:r>
      <w:r w:rsidR="00A67EC0">
        <w:rPr>
          <w:rFonts w:ascii="Arial" w:hAnsi="Arial" w:cs="Arial"/>
        </w:rPr>
        <w:t>ing</w:t>
      </w:r>
      <w:r w:rsidR="007B4DBD">
        <w:rPr>
          <w:rFonts w:ascii="Arial" w:hAnsi="Arial" w:cs="Arial"/>
        </w:rPr>
        <w:t xml:space="preserve"> of [well name]-[sample type</w:t>
      </w:r>
      <w:r w:rsidR="00A67EC0">
        <w:rPr>
          <w:rFonts w:ascii="Arial" w:hAnsi="Arial" w:cs="Arial"/>
        </w:rPr>
        <w:t>-</w:t>
      </w:r>
      <w:r w:rsidR="007B4DBD">
        <w:rPr>
          <w:rFonts w:ascii="Arial" w:hAnsi="Arial" w:cs="Arial"/>
        </w:rPr>
        <w:t>abbreviation]-[sample number].</w:t>
      </w:r>
      <w:r>
        <w:rPr>
          <w:rFonts w:ascii="Arial" w:hAnsi="Arial" w:cs="Arial"/>
        </w:rPr>
        <w:t xml:space="preserve"> </w:t>
      </w:r>
      <w:r w:rsidR="00A67EC0">
        <w:rPr>
          <w:rFonts w:ascii="Arial" w:hAnsi="Arial" w:cs="Arial"/>
        </w:rPr>
        <w:t xml:space="preserve">The sample </w:t>
      </w:r>
      <w:r>
        <w:rPr>
          <w:rFonts w:ascii="Arial" w:hAnsi="Arial" w:cs="Arial"/>
        </w:rPr>
        <w:t xml:space="preserve">naming convention </w:t>
      </w:r>
      <w:r w:rsidR="00A67EC0">
        <w:rPr>
          <w:rFonts w:ascii="Arial" w:hAnsi="Arial" w:cs="Arial"/>
        </w:rPr>
        <w:t>can be downloaded from the online</w:t>
      </w:r>
      <w:r w:rsidR="003329BA">
        <w:rPr>
          <w:rFonts w:ascii="Arial" w:hAnsi="Arial" w:cs="Arial"/>
        </w:rPr>
        <w:t xml:space="preserve"> </w:t>
      </w:r>
      <w:r w:rsidR="007B4DBD">
        <w:rPr>
          <w:rFonts w:ascii="Arial" w:hAnsi="Arial" w:cs="Arial"/>
        </w:rPr>
        <w:t xml:space="preserve">Collection of </w:t>
      </w:r>
      <w:r w:rsidR="003329BA">
        <w:rPr>
          <w:rFonts w:ascii="Arial" w:hAnsi="Arial" w:cs="Arial"/>
        </w:rPr>
        <w:t>Technical Guidelines and Procedures</w:t>
      </w:r>
      <w:r w:rsidR="007B4DBD">
        <w:rPr>
          <w:rFonts w:ascii="Arial" w:hAnsi="Arial" w:cs="Arial"/>
        </w:rPr>
        <w:t xml:space="preserve"> (</w:t>
      </w:r>
      <w:r w:rsidR="00A67EC0" w:rsidRPr="008A1A8A">
        <w:rPr>
          <w:rFonts w:ascii="Arial" w:hAnsi="Arial" w:cs="Arial"/>
        </w:rPr>
        <w:t>DOI:</w:t>
      </w:r>
      <w:hyperlink r:id="rId10" w:history="1">
        <w:r w:rsidR="00A67EC0" w:rsidRPr="002B0B68">
          <w:rPr>
            <w:rStyle w:val="Hyperlink"/>
            <w:rFonts w:ascii="Arial" w:hAnsi="Arial" w:cs="Arial"/>
          </w:rPr>
          <w:t>https://www.doi.org/10.4121/f9211fb7-39ea-4886-b350-95863da9ae60</w:t>
        </w:r>
      </w:hyperlink>
      <w:r w:rsidR="007B4DBD">
        <w:rPr>
          <w:rFonts w:ascii="Arial" w:hAnsi="Arial" w:cs="Arial"/>
        </w:rPr>
        <w:t xml:space="preserve">). </w:t>
      </w:r>
    </w:p>
    <w:sectPr w:rsidR="00590010" w:rsidSect="00DA17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0E3A"/>
    <w:multiLevelType w:val="hybridMultilevel"/>
    <w:tmpl w:val="3F089022"/>
    <w:lvl w:ilvl="0" w:tplc="DA1A9060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F57F41"/>
    <w:multiLevelType w:val="hybridMultilevel"/>
    <w:tmpl w:val="714042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FE1C6C"/>
    <w:multiLevelType w:val="hybridMultilevel"/>
    <w:tmpl w:val="96E09A92"/>
    <w:lvl w:ilvl="0" w:tplc="399EC35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769CD"/>
    <w:multiLevelType w:val="hybridMultilevel"/>
    <w:tmpl w:val="6870204C"/>
    <w:lvl w:ilvl="0" w:tplc="C03EAA94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6601616">
    <w:abstractNumId w:val="3"/>
  </w:num>
  <w:num w:numId="2" w16cid:durableId="284430865">
    <w:abstractNumId w:val="1"/>
  </w:num>
  <w:num w:numId="3" w16cid:durableId="2052143440">
    <w:abstractNumId w:val="0"/>
  </w:num>
  <w:num w:numId="4" w16cid:durableId="1638223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F8"/>
    <w:rsid w:val="000446CA"/>
    <w:rsid w:val="000648FC"/>
    <w:rsid w:val="000B7132"/>
    <w:rsid w:val="00152104"/>
    <w:rsid w:val="0016488E"/>
    <w:rsid w:val="001720FC"/>
    <w:rsid w:val="001832CD"/>
    <w:rsid w:val="00190D91"/>
    <w:rsid w:val="001C5BDC"/>
    <w:rsid w:val="00250C19"/>
    <w:rsid w:val="002814C8"/>
    <w:rsid w:val="002B58E1"/>
    <w:rsid w:val="002D79DB"/>
    <w:rsid w:val="003329BA"/>
    <w:rsid w:val="00374060"/>
    <w:rsid w:val="00386065"/>
    <w:rsid w:val="003A556C"/>
    <w:rsid w:val="003A72AC"/>
    <w:rsid w:val="0040710A"/>
    <w:rsid w:val="00412435"/>
    <w:rsid w:val="00423B19"/>
    <w:rsid w:val="004263CD"/>
    <w:rsid w:val="0045498E"/>
    <w:rsid w:val="004D229E"/>
    <w:rsid w:val="004D45D8"/>
    <w:rsid w:val="004D6769"/>
    <w:rsid w:val="004D7B75"/>
    <w:rsid w:val="005069B4"/>
    <w:rsid w:val="005303A4"/>
    <w:rsid w:val="00530428"/>
    <w:rsid w:val="00532E84"/>
    <w:rsid w:val="0055325C"/>
    <w:rsid w:val="005778C3"/>
    <w:rsid w:val="00590010"/>
    <w:rsid w:val="005F73EA"/>
    <w:rsid w:val="00632CD7"/>
    <w:rsid w:val="006A54AC"/>
    <w:rsid w:val="00723EA0"/>
    <w:rsid w:val="00740834"/>
    <w:rsid w:val="007A1473"/>
    <w:rsid w:val="007B4DBD"/>
    <w:rsid w:val="007D7BF6"/>
    <w:rsid w:val="007E24DF"/>
    <w:rsid w:val="008003C6"/>
    <w:rsid w:val="00857158"/>
    <w:rsid w:val="00861D52"/>
    <w:rsid w:val="008A3DAB"/>
    <w:rsid w:val="008F508B"/>
    <w:rsid w:val="00907F0D"/>
    <w:rsid w:val="00910404"/>
    <w:rsid w:val="00942C3D"/>
    <w:rsid w:val="00967C96"/>
    <w:rsid w:val="00975DDA"/>
    <w:rsid w:val="009820CF"/>
    <w:rsid w:val="00982967"/>
    <w:rsid w:val="009C6EBC"/>
    <w:rsid w:val="009C7A0A"/>
    <w:rsid w:val="00A02CE5"/>
    <w:rsid w:val="00A0652C"/>
    <w:rsid w:val="00A257DF"/>
    <w:rsid w:val="00A35519"/>
    <w:rsid w:val="00A65633"/>
    <w:rsid w:val="00A67EC0"/>
    <w:rsid w:val="00AD2AA2"/>
    <w:rsid w:val="00B42F82"/>
    <w:rsid w:val="00B464BE"/>
    <w:rsid w:val="00B70895"/>
    <w:rsid w:val="00BC3CF8"/>
    <w:rsid w:val="00BE26B6"/>
    <w:rsid w:val="00BF343E"/>
    <w:rsid w:val="00C010D7"/>
    <w:rsid w:val="00C029DA"/>
    <w:rsid w:val="00C255F9"/>
    <w:rsid w:val="00C9190B"/>
    <w:rsid w:val="00D05EA3"/>
    <w:rsid w:val="00D62050"/>
    <w:rsid w:val="00D6302E"/>
    <w:rsid w:val="00D873FA"/>
    <w:rsid w:val="00DA17CB"/>
    <w:rsid w:val="00DD45A6"/>
    <w:rsid w:val="00DE0C64"/>
    <w:rsid w:val="00E20EE1"/>
    <w:rsid w:val="00E217A4"/>
    <w:rsid w:val="00E874BE"/>
    <w:rsid w:val="00EA09CA"/>
    <w:rsid w:val="00EE55AC"/>
    <w:rsid w:val="00F00302"/>
    <w:rsid w:val="00F01C32"/>
    <w:rsid w:val="00F27DB1"/>
    <w:rsid w:val="00F40C0F"/>
    <w:rsid w:val="00F86F86"/>
    <w:rsid w:val="00FB32CA"/>
    <w:rsid w:val="00FC44EC"/>
    <w:rsid w:val="00FD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1D87A"/>
  <w15:chartTrackingRefBased/>
  <w15:docId w15:val="{EE617E01-5395-4387-A01E-B0523BA6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3C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3C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3C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3C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3C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3C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3C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3C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3C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C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3C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3C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3C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3C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3C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3C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3C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3C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3C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3C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3C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3C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3C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3C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3C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3C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3C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3C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3C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03C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58E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40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4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delft.nl/geothermalwel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ke.barnhoorn@tudelft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vargasmeleza@tudelft.n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doi.org/10.4121/2292437e-2ce4-42b7-8350-7774d762cc60" TargetMode="External"/><Relationship Id="rId10" Type="http://schemas.openxmlformats.org/officeDocument/2006/relationships/hyperlink" Target="https://www.doi.org/10.4121/f9211fb7-39ea-4886-b350-95863da9ae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121/09461663-32eb-4dda-aeba-28016fd7e7f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Vargas Meleza</dc:creator>
  <cp:keywords/>
  <dc:description/>
  <cp:lastModifiedBy>Liliana Vargas Meleza</cp:lastModifiedBy>
  <cp:revision>57</cp:revision>
  <dcterms:created xsi:type="dcterms:W3CDTF">2024-07-28T14:32:00Z</dcterms:created>
  <dcterms:modified xsi:type="dcterms:W3CDTF">2024-08-12T11:17:00Z</dcterms:modified>
</cp:coreProperties>
</file>